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after="0" w:line="240" w:lineRule="auto"/>
        <w:jc w:val="center"/>
        <w:rPr>
          <w:rFonts w:ascii="方正小标宋简体" w:hAnsi="方正小标宋简体" w:eastAsia="方正小标宋简体"/>
          <w:color w:val="000000"/>
          <w:sz w:val="36"/>
          <w:szCs w:val="36"/>
        </w:rPr>
      </w:pPr>
      <w:r>
        <w:rPr>
          <w:rFonts w:ascii="方正小标宋简体" w:hAnsi="方正小标宋简体" w:eastAsia="方正小标宋简体"/>
          <w:color w:val="000000"/>
          <w:sz w:val="36"/>
          <w:szCs w:val="36"/>
        </w:rPr>
        <w:t>省本级职工基本医疗保险参保登记表</w:t>
      </w:r>
    </w:p>
    <w:p>
      <w:pPr>
        <w:snapToGrid w:val="0"/>
        <w:spacing w:before="0" w:after="0" w:line="240" w:lineRule="auto"/>
        <w:jc w:val="both"/>
        <w:rPr>
          <w:rFonts w:ascii="仿宋" w:hAnsi="仿宋" w:eastAsia="仿宋"/>
          <w:color w:val="000000"/>
          <w:sz w:val="20"/>
          <w:szCs w:val="20"/>
        </w:rPr>
      </w:pP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单位名称（盖章）：                                       单位编码：                                   □灵活就业人员（□统帐结合/□单建统筹）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510"/>
        <w:gridCol w:w="810"/>
        <w:gridCol w:w="870"/>
        <w:gridCol w:w="1860"/>
        <w:gridCol w:w="1005"/>
        <w:gridCol w:w="795"/>
        <w:gridCol w:w="780"/>
        <w:gridCol w:w="645"/>
        <w:gridCol w:w="840"/>
        <w:gridCol w:w="705"/>
        <w:gridCol w:w="615"/>
        <w:gridCol w:w="570"/>
        <w:gridCol w:w="600"/>
        <w:gridCol w:w="495"/>
        <w:gridCol w:w="600"/>
        <w:gridCol w:w="690"/>
        <w:gridCol w:w="720"/>
        <w:gridCol w:w="1365"/>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30" w:hRule="atLeast"/>
        </w:trPr>
        <w:tc>
          <w:tcPr>
            <w:tcW w:w="510" w:type="dxa"/>
            <w:vMerge w:val="restart"/>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序号</w:t>
            </w:r>
          </w:p>
        </w:tc>
        <w:tc>
          <w:tcPr>
            <w:tcW w:w="810" w:type="dxa"/>
            <w:vMerge w:val="restart"/>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姓名</w:t>
            </w:r>
          </w:p>
        </w:tc>
        <w:tc>
          <w:tcPr>
            <w:tcW w:w="870" w:type="dxa"/>
            <w:vMerge w:val="restart"/>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身份证件类型</w:t>
            </w:r>
          </w:p>
        </w:tc>
        <w:tc>
          <w:tcPr>
            <w:tcW w:w="1860" w:type="dxa"/>
            <w:vMerge w:val="restart"/>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身份证件号码</w:t>
            </w:r>
          </w:p>
        </w:tc>
        <w:tc>
          <w:tcPr>
            <w:tcW w:w="1005" w:type="dxa"/>
            <w:vMerge w:val="restart"/>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申报工资</w:t>
            </w:r>
          </w:p>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（元/月）</w:t>
            </w:r>
          </w:p>
        </w:tc>
        <w:tc>
          <w:tcPr>
            <w:tcW w:w="795" w:type="dxa"/>
            <w:vMerge w:val="restart"/>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缴费起始时间</w:t>
            </w:r>
          </w:p>
        </w:tc>
        <w:tc>
          <w:tcPr>
            <w:tcW w:w="2970" w:type="dxa"/>
            <w:gridSpan w:val="4"/>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险种</w:t>
            </w:r>
          </w:p>
        </w:tc>
        <w:tc>
          <w:tcPr>
            <w:tcW w:w="4290" w:type="dxa"/>
            <w:gridSpan w:val="7"/>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变更类别</w:t>
            </w:r>
          </w:p>
        </w:tc>
        <w:tc>
          <w:tcPr>
            <w:tcW w:w="136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手机号码</w:t>
            </w:r>
          </w:p>
        </w:tc>
        <w:tc>
          <w:tcPr>
            <w:tcW w:w="85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510" w:type="dxa"/>
            <w:vMerge w:val="continue"/>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10" w:type="dxa"/>
            <w:vMerge w:val="continue"/>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70" w:type="dxa"/>
            <w:vMerge w:val="continue"/>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860" w:type="dxa"/>
            <w:vMerge w:val="continue"/>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005" w:type="dxa"/>
            <w:vMerge w:val="continue"/>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95" w:type="dxa"/>
            <w:vMerge w:val="continue"/>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8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基本医疗保险</w:t>
            </w:r>
          </w:p>
        </w:tc>
        <w:tc>
          <w:tcPr>
            <w:tcW w:w="64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生育保险</w:t>
            </w:r>
          </w:p>
        </w:tc>
        <w:tc>
          <w:tcPr>
            <w:tcW w:w="84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补充医疗保险</w:t>
            </w:r>
          </w:p>
        </w:tc>
        <w:tc>
          <w:tcPr>
            <w:tcW w:w="7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其它</w:t>
            </w:r>
          </w:p>
        </w:tc>
        <w:tc>
          <w:tcPr>
            <w:tcW w:w="61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增加</w:t>
            </w:r>
          </w:p>
        </w:tc>
        <w:tc>
          <w:tcPr>
            <w:tcW w:w="5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减少</w:t>
            </w: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暂停</w:t>
            </w:r>
          </w:p>
        </w:tc>
        <w:tc>
          <w:tcPr>
            <w:tcW w:w="4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终止</w:t>
            </w: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恢复</w:t>
            </w:r>
          </w:p>
        </w:tc>
        <w:tc>
          <w:tcPr>
            <w:tcW w:w="69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在职转退休</w:t>
            </w:r>
          </w:p>
        </w:tc>
        <w:tc>
          <w:tcPr>
            <w:tcW w:w="72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r>
              <w:rPr>
                <w:rFonts w:ascii="仿宋" w:hAnsi="仿宋" w:eastAsia="仿宋"/>
                <w:color w:val="000000"/>
                <w:sz w:val="20"/>
                <w:szCs w:val="20"/>
              </w:rPr>
              <w:t>单位转个体</w:t>
            </w:r>
          </w:p>
        </w:tc>
        <w:tc>
          <w:tcPr>
            <w:tcW w:w="136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5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90" w:hRule="atLeast"/>
        </w:trPr>
        <w:tc>
          <w:tcPr>
            <w:tcW w:w="51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1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8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hint="eastAsia" w:ascii="仿宋" w:hAnsi="仿宋" w:eastAsia="仿宋"/>
                <w:color w:val="000000"/>
                <w:sz w:val="20"/>
                <w:szCs w:val="20"/>
                <w:lang w:val="en-US" w:eastAsia="zh-CN"/>
              </w:rPr>
            </w:pPr>
          </w:p>
        </w:tc>
        <w:tc>
          <w:tcPr>
            <w:tcW w:w="186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10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hint="default" w:ascii="仿宋" w:hAnsi="仿宋" w:eastAsia="仿宋"/>
                <w:color w:val="000000"/>
                <w:sz w:val="20"/>
                <w:szCs w:val="20"/>
                <w:lang w:val="en-US" w:eastAsia="zh-CN"/>
              </w:rPr>
            </w:pPr>
          </w:p>
        </w:tc>
        <w:tc>
          <w:tcPr>
            <w:tcW w:w="78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4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4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1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5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4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9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2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36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5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90" w:hRule="atLeast"/>
        </w:trPr>
        <w:tc>
          <w:tcPr>
            <w:tcW w:w="51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1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8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86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10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hint="default" w:ascii="仿宋" w:hAnsi="仿宋" w:eastAsia="仿宋"/>
                <w:color w:val="000000"/>
                <w:sz w:val="20"/>
                <w:szCs w:val="20"/>
                <w:lang w:val="en-US" w:eastAsia="zh-CN"/>
              </w:rPr>
            </w:pPr>
          </w:p>
        </w:tc>
        <w:tc>
          <w:tcPr>
            <w:tcW w:w="78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4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4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1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5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4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9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bookmarkStart w:id="0" w:name="_GoBack"/>
            <w:bookmarkEnd w:id="0"/>
          </w:p>
        </w:tc>
        <w:tc>
          <w:tcPr>
            <w:tcW w:w="72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36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5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51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1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8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86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10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hint="default" w:ascii="仿宋" w:hAnsi="仿宋" w:eastAsia="仿宋"/>
                <w:color w:val="000000"/>
                <w:sz w:val="20"/>
                <w:szCs w:val="20"/>
                <w:lang w:val="en-US" w:eastAsia="zh-CN"/>
              </w:rPr>
            </w:pPr>
          </w:p>
        </w:tc>
        <w:tc>
          <w:tcPr>
            <w:tcW w:w="78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4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4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1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5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4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9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2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36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5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35" w:hRule="atLeast"/>
        </w:trPr>
        <w:tc>
          <w:tcPr>
            <w:tcW w:w="51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1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8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860" w:type="dxa"/>
            <w:tcBorders>
              <w:top w:val="single" w:color="000000" w:sz="8" w:space="0"/>
              <w:left w:val="single" w:color="000000" w:sz="8" w:space="0"/>
              <w:bottom w:val="single" w:color="000000" w:sz="8" w:space="0"/>
              <w:right w:val="single" w:color="000000" w:sz="8" w:space="0"/>
            </w:tcBorders>
            <w:vAlign w:val="top"/>
          </w:tcPr>
          <w:p>
            <w:pPr>
              <w:spacing w:beforeLines="0" w:afterLines="0"/>
              <w:jc w:val="center"/>
              <w:rPr>
                <w:rFonts w:hint="eastAsia" w:ascii="宋体" w:hAnsi="宋体" w:eastAsiaTheme="minorEastAsia" w:cstheme="minorBidi"/>
                <w:color w:val="000000"/>
                <w:kern w:val="2"/>
                <w:sz w:val="22"/>
                <w:szCs w:val="24"/>
                <w:lang w:val="en-US" w:eastAsia="zh-CN" w:bidi="ar-SA"/>
              </w:rPr>
            </w:pPr>
          </w:p>
        </w:tc>
        <w:tc>
          <w:tcPr>
            <w:tcW w:w="10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hint="default" w:ascii="仿宋" w:hAnsi="仿宋" w:eastAsia="仿宋"/>
                <w:color w:val="000000"/>
                <w:sz w:val="20"/>
                <w:szCs w:val="20"/>
                <w:lang w:val="en-US" w:eastAsia="zh-CN"/>
              </w:rPr>
            </w:pPr>
          </w:p>
        </w:tc>
        <w:tc>
          <w:tcPr>
            <w:tcW w:w="78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4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4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0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1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57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49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0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69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720"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136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c>
          <w:tcPr>
            <w:tcW w:w="855" w:type="dxa"/>
            <w:tcBorders>
              <w:top w:val="single" w:color="000000" w:sz="8" w:space="0"/>
              <w:left w:val="single" w:color="000000" w:sz="8" w:space="0"/>
              <w:bottom w:val="single" w:color="000000" w:sz="8" w:space="0"/>
              <w:right w:val="single" w:color="000000" w:sz="8" w:space="0"/>
            </w:tcBorders>
            <w:vAlign w:val="center"/>
          </w:tcPr>
          <w:p>
            <w:pPr>
              <w:snapToGrid w:val="0"/>
              <w:spacing w:before="0" w:after="0" w:line="240" w:lineRule="auto"/>
              <w:jc w:val="center"/>
              <w:rPr>
                <w:rFonts w:ascii="仿宋" w:hAnsi="仿宋" w:eastAsia="仿宋"/>
                <w:color w:val="000000"/>
                <w:sz w:val="20"/>
                <w:szCs w:val="20"/>
              </w:rPr>
            </w:pPr>
          </w:p>
        </w:tc>
      </w:tr>
    </w:tbl>
    <w:p>
      <w:pPr>
        <w:snapToGrid w:val="0"/>
        <w:spacing w:before="0" w:after="0" w:line="276" w:lineRule="auto"/>
        <w:jc w:val="both"/>
        <w:rPr>
          <w:rFonts w:ascii="仿宋" w:hAnsi="仿宋" w:eastAsia="仿宋"/>
          <w:color w:val="000000"/>
          <w:sz w:val="20"/>
          <w:szCs w:val="20"/>
        </w:rPr>
      </w:pPr>
      <w:r>
        <w:rPr>
          <w:rFonts w:ascii="仿宋" w:hAnsi="仿宋" w:eastAsia="仿宋"/>
          <w:color w:val="000000"/>
          <w:sz w:val="20"/>
          <w:szCs w:val="20"/>
        </w:rPr>
        <w:t>注：灵活就业人员无需单位盖章和填写单位编码，只须勾选统帐结合或单建统筹。</w:t>
      </w:r>
    </w:p>
    <w:p>
      <w:pPr>
        <w:snapToGrid w:val="0"/>
        <w:spacing w:before="0" w:after="0" w:line="276" w:lineRule="auto"/>
        <w:jc w:val="both"/>
        <w:rPr>
          <w:rFonts w:ascii="仿宋" w:hAnsi="仿宋" w:eastAsia="仿宋"/>
          <w:color w:val="000000"/>
          <w:sz w:val="20"/>
          <w:szCs w:val="20"/>
        </w:rPr>
      </w:pPr>
      <w:r>
        <w:rPr>
          <w:rFonts w:ascii="仿宋" w:hAnsi="仿宋" w:eastAsia="仿宋"/>
          <w:color w:val="000000"/>
          <w:sz w:val="20"/>
          <w:szCs w:val="20"/>
        </w:rPr>
        <w:t>填报人：                                   联系电话：                                  经办机构经办人：                 年   月   日</w:t>
      </w:r>
    </w:p>
    <w:p>
      <w:pPr>
        <w:snapToGrid w:val="0"/>
        <w:spacing w:before="0" w:after="0" w:line="360" w:lineRule="auto"/>
        <w:jc w:val="both"/>
        <w:rPr>
          <w:rFonts w:ascii="仿宋" w:hAnsi="仿宋" w:eastAsia="仿宋"/>
          <w:b/>
          <w:bCs/>
          <w:color w:val="000000"/>
          <w:sz w:val="20"/>
          <w:szCs w:val="20"/>
        </w:rPr>
      </w:pPr>
      <w:r>
        <w:rPr>
          <w:rFonts w:ascii="仿宋" w:hAnsi="仿宋" w:eastAsia="仿宋"/>
          <w:b/>
          <w:bCs/>
          <w:color w:val="000000"/>
          <w:sz w:val="20"/>
          <w:szCs w:val="20"/>
        </w:rPr>
        <w:t>灵活就业人员填写此登记表备注：</w:t>
      </w: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1.此登记表为接续参保人与省医保事务中心签订的协议约定。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textAlignment w:val="baseline"/>
        <w:rPr>
          <w:rFonts w:hint="eastAsia" w:ascii="宋体" w:hAnsi="宋体" w:eastAsia="宋体" w:cs="宋体"/>
          <w:i w:val="0"/>
          <w:iCs w:val="0"/>
          <w:caps w:val="0"/>
          <w:color w:val="000000"/>
          <w:spacing w:val="0"/>
          <w:sz w:val="14"/>
          <w:szCs w:val="14"/>
        </w:rPr>
      </w:pPr>
      <w:r>
        <w:rPr>
          <w:rFonts w:ascii="仿宋" w:hAnsi="仿宋" w:eastAsia="仿宋"/>
          <w:color w:val="000000"/>
          <w:sz w:val="20"/>
          <w:szCs w:val="20"/>
        </w:rPr>
        <w:t>2.此登记表一式二份，参保人、省医保事务中</w:t>
      </w:r>
      <w:r>
        <w:rPr>
          <w:rFonts w:hint="eastAsia" w:ascii="宋体" w:hAnsi="宋体" w:eastAsia="宋体" w:cs="宋体"/>
          <w:i w:val="0"/>
          <w:iCs w:val="0"/>
          <w:caps w:val="0"/>
          <w:color w:val="000000"/>
          <w:spacing w:val="0"/>
          <w:kern w:val="0"/>
          <w:sz w:val="18"/>
          <w:szCs w:val="18"/>
          <w:bdr w:val="none" w:color="auto" w:sz="0" w:space="0"/>
          <w:vertAlign w:val="baseline"/>
          <w:lang w:val="en-US" w:eastAsia="zh-CN" w:bidi="ar"/>
        </w:rPr>
        <w:t>632801196512202033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textAlignment w:val="baseline"/>
        <w:rPr>
          <w:rFonts w:hint="eastAsia" w:ascii="宋体" w:hAnsi="宋体" w:eastAsia="宋体" w:cs="宋体"/>
          <w:i w:val="0"/>
          <w:iCs w:val="0"/>
          <w:caps w:val="0"/>
          <w:color w:val="000000"/>
          <w:spacing w:val="0"/>
          <w:sz w:val="14"/>
          <w:szCs w:val="14"/>
        </w:rPr>
      </w:pP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心各留存一份。</w:t>
      </w:r>
    </w:p>
    <w:p>
      <w:pPr>
        <w:snapToGrid w:val="0"/>
        <w:spacing w:before="0" w:after="0" w:line="360" w:lineRule="auto"/>
        <w:jc w:val="both"/>
        <w:rPr>
          <w:rFonts w:ascii="仿宋" w:hAnsi="仿宋" w:eastAsia="仿宋"/>
          <w:b/>
          <w:bCs/>
          <w:color w:val="000000"/>
          <w:sz w:val="20"/>
          <w:szCs w:val="20"/>
        </w:rPr>
      </w:pPr>
      <w:r>
        <w:rPr>
          <w:rFonts w:ascii="仿宋" w:hAnsi="仿宋" w:eastAsia="仿宋"/>
          <w:b/>
          <w:bCs/>
          <w:color w:val="000000"/>
          <w:sz w:val="20"/>
          <w:szCs w:val="20"/>
        </w:rPr>
        <w:t>灵活就业人员填写说明：</w:t>
      </w: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1.</w:t>
      </w:r>
      <w:r>
        <w:rPr>
          <w:rFonts w:ascii="仿宋" w:hAnsi="仿宋" w:eastAsia="仿宋"/>
          <w:b/>
          <w:bCs/>
          <w:color w:val="000000"/>
          <w:sz w:val="20"/>
          <w:szCs w:val="20"/>
        </w:rPr>
        <w:t>申请时限</w:t>
      </w:r>
      <w:r>
        <w:rPr>
          <w:rFonts w:ascii="仿宋" w:hAnsi="仿宋" w:eastAsia="仿宋"/>
          <w:color w:val="000000"/>
          <w:sz w:val="20"/>
          <w:szCs w:val="20"/>
        </w:rPr>
        <w:t>：在四川省医疗保障事务中心中止基本医疗保险关系之日起，12个月以内可办理接续参保，并应补缴中断期医疗保险费及相应利息（按银行当期活期利息计算）；12个月内未办理接续参保的，视为自动放弃参加省本级基本医疗保险，省医保事务中心不受理其接续参保申请。</w:t>
      </w: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2.</w:t>
      </w:r>
      <w:r>
        <w:rPr>
          <w:rFonts w:ascii="仿宋" w:hAnsi="仿宋" w:eastAsia="仿宋"/>
          <w:b/>
          <w:bCs/>
          <w:color w:val="000000"/>
          <w:sz w:val="20"/>
          <w:szCs w:val="20"/>
        </w:rPr>
        <w:t>缴费时间</w:t>
      </w:r>
      <w:r>
        <w:rPr>
          <w:rFonts w:ascii="仿宋" w:hAnsi="仿宋" w:eastAsia="仿宋"/>
          <w:color w:val="000000"/>
          <w:sz w:val="20"/>
          <w:szCs w:val="20"/>
        </w:rPr>
        <w:t>：接续参保后，每年12月10日至12月31日前一次性缴纳次年全年的基本医疗保险费，逾期未缴费停止享受待遇。中断缴费12个月以上，视为自动放弃参加省本级基本医疗保险，省医保事务中心不再受理其参保。</w:t>
      </w: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3.</w:t>
      </w:r>
      <w:r>
        <w:rPr>
          <w:rFonts w:ascii="仿宋" w:hAnsi="仿宋" w:eastAsia="仿宋"/>
          <w:b/>
          <w:bCs/>
          <w:color w:val="000000"/>
          <w:sz w:val="20"/>
          <w:szCs w:val="20"/>
        </w:rPr>
        <w:t>缴费年限</w:t>
      </w:r>
      <w:r>
        <w:rPr>
          <w:rFonts w:ascii="仿宋" w:hAnsi="仿宋" w:eastAsia="仿宋"/>
          <w:color w:val="000000"/>
          <w:sz w:val="20"/>
          <w:szCs w:val="20"/>
        </w:rPr>
        <w:t>：对2009年1月1日以后初次参保人员缴费年限，参照四川省劳动和社会保障厅、四川财政厅《关于调整省本级城镇职工基本医疗保险待遇有关问题的通知》（川劳社办[2009]4号）文件规定的“连续缴费年限不得低于15年”执行。</w:t>
      </w:r>
    </w:p>
    <w:p>
      <w:pPr>
        <w:snapToGrid w:val="0"/>
        <w:spacing w:before="0" w:after="0" w:line="240" w:lineRule="auto"/>
        <w:ind w:firstLineChars="200"/>
        <w:jc w:val="both"/>
        <w:rPr>
          <w:rFonts w:ascii="仿宋" w:hAnsi="仿宋" w:eastAsia="仿宋"/>
          <w:color w:val="000000"/>
          <w:sz w:val="20"/>
          <w:szCs w:val="20"/>
        </w:rPr>
      </w:pPr>
      <w:r>
        <w:rPr>
          <w:rFonts w:ascii="仿宋" w:hAnsi="仿宋" w:eastAsia="仿宋"/>
          <w:color w:val="000000"/>
          <w:sz w:val="20"/>
          <w:szCs w:val="20"/>
        </w:rPr>
        <w:t>在接续参保后，达到国家法定退休年龄且连续缴费超过最低缴费年限的，经省医保事务中心审核后，按接续参保时选定的保障水平享受相应的医疗保险待遇并不再缴纳基本医疗保险费；达到法定退休年龄但连续缴费未满15年的，可继续缴费直到满15年，或以缴费时上年度成都市全口径城镇单位就业人员平均工资为基数一次性缴足相差年限的医疗保险费，然后按选定的保障水平享受相应的医疗保险待遇并不再缴纳基本医疗保险费。</w:t>
      </w: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4.</w:t>
      </w:r>
      <w:r>
        <w:rPr>
          <w:rFonts w:ascii="仿宋" w:hAnsi="仿宋" w:eastAsia="仿宋"/>
          <w:b/>
          <w:bCs/>
          <w:color w:val="000000"/>
          <w:sz w:val="20"/>
          <w:szCs w:val="20"/>
        </w:rPr>
        <w:t>缴费方式</w:t>
      </w:r>
      <w:r>
        <w:rPr>
          <w:rFonts w:ascii="仿宋" w:hAnsi="仿宋" w:eastAsia="仿宋"/>
          <w:color w:val="000000"/>
          <w:sz w:val="20"/>
          <w:szCs w:val="20"/>
        </w:rPr>
        <w:t>：到四川省政府规定的征收部门办理缴费。</w:t>
      </w:r>
    </w:p>
    <w:p>
      <w:pPr>
        <w:snapToGrid w:val="0"/>
        <w:spacing w:before="0" w:after="0" w:line="240" w:lineRule="auto"/>
        <w:jc w:val="both"/>
        <w:rPr>
          <w:rFonts w:ascii="仿宋" w:hAnsi="仿宋" w:eastAsia="仿宋"/>
          <w:color w:val="000000"/>
          <w:sz w:val="20"/>
          <w:szCs w:val="20"/>
        </w:rPr>
      </w:pPr>
      <w:r>
        <w:rPr>
          <w:rFonts w:ascii="仿宋" w:hAnsi="仿宋" w:eastAsia="仿宋"/>
          <w:color w:val="000000"/>
          <w:sz w:val="20"/>
          <w:szCs w:val="20"/>
        </w:rPr>
        <w:t>5.</w:t>
      </w:r>
      <w:r>
        <w:rPr>
          <w:rFonts w:ascii="仿宋" w:hAnsi="仿宋" w:eastAsia="仿宋"/>
          <w:b/>
          <w:bCs/>
          <w:color w:val="000000"/>
          <w:sz w:val="20"/>
          <w:szCs w:val="20"/>
        </w:rPr>
        <w:t>申报材料</w:t>
      </w:r>
      <w:r>
        <w:rPr>
          <w:rFonts w:ascii="仿宋" w:hAnsi="仿宋" w:eastAsia="仿宋"/>
          <w:color w:val="000000"/>
          <w:sz w:val="20"/>
          <w:szCs w:val="20"/>
        </w:rPr>
        <w:t>：（1）在编人员与单位解除人事关系的证明材料复印件（加盖单位鲜章）；编外聘用人员与单位解除劳动关系的证明材料复印件（加盖单位鲜章）；（2）居民身份证复印件。</w:t>
      </w:r>
    </w:p>
    <w:p>
      <w:pPr>
        <w:snapToGrid w:val="0"/>
        <w:spacing w:before="0" w:after="0" w:line="360" w:lineRule="auto"/>
        <w:jc w:val="both"/>
        <w:rPr>
          <w:rFonts w:ascii="仿宋" w:hAnsi="仿宋" w:eastAsia="仿宋"/>
          <w:b/>
          <w:bCs/>
          <w:color w:val="000000"/>
          <w:sz w:val="20"/>
          <w:szCs w:val="20"/>
        </w:rPr>
      </w:pPr>
      <w:r>
        <w:rPr>
          <w:rFonts w:ascii="仿宋" w:hAnsi="仿宋" w:eastAsia="仿宋"/>
          <w:b/>
          <w:bCs/>
          <w:color w:val="000000"/>
          <w:sz w:val="20"/>
          <w:szCs w:val="20"/>
        </w:rPr>
        <w:t>缴费标准与医疗保险待遇</w:t>
      </w:r>
    </w:p>
    <w:p>
      <w:pPr>
        <w:snapToGrid w:val="0"/>
        <w:spacing w:before="0" w:after="0" w:line="360" w:lineRule="auto"/>
        <w:jc w:val="both"/>
        <w:rPr>
          <w:rFonts w:ascii="仿宋" w:hAnsi="仿宋" w:eastAsia="仿宋"/>
          <w:b/>
          <w:bCs/>
          <w:color w:val="000000"/>
          <w:sz w:val="20"/>
          <w:szCs w:val="20"/>
        </w:rPr>
      </w:pPr>
      <w:r>
        <w:rPr>
          <w:rFonts w:ascii="仿宋" w:hAnsi="仿宋" w:eastAsia="仿宋"/>
          <w:b/>
          <w:bCs/>
          <w:color w:val="000000"/>
          <w:sz w:val="20"/>
          <w:szCs w:val="20"/>
        </w:rPr>
        <w:t>统帐结合方式</w:t>
      </w:r>
    </w:p>
    <w:p>
      <w:pPr>
        <w:snapToGrid w:val="0"/>
        <w:spacing w:before="0" w:after="0" w:line="240" w:lineRule="auto"/>
        <w:ind w:firstLineChars="200"/>
        <w:jc w:val="both"/>
        <w:rPr>
          <w:rFonts w:ascii="仿宋" w:hAnsi="仿宋" w:eastAsia="仿宋"/>
          <w:color w:val="000000"/>
          <w:sz w:val="20"/>
          <w:szCs w:val="20"/>
        </w:rPr>
      </w:pPr>
      <w:r>
        <w:rPr>
          <w:rFonts w:ascii="仿宋" w:hAnsi="仿宋" w:eastAsia="仿宋"/>
          <w:color w:val="000000"/>
          <w:sz w:val="20"/>
          <w:szCs w:val="20"/>
        </w:rPr>
        <w:t xml:space="preserve">选择统帐结合方式，每年按成都市上年度城镇职工平均工资的11%缴费，普通门诊、住院医疗保险待遇和门诊特殊疾病与单位职工参保的待遇相同。   </w:t>
      </w:r>
    </w:p>
    <w:p>
      <w:pPr>
        <w:snapToGrid w:val="0"/>
        <w:spacing w:before="0" w:after="0" w:line="360" w:lineRule="auto"/>
        <w:jc w:val="both"/>
        <w:rPr>
          <w:rFonts w:ascii="仿宋" w:hAnsi="仿宋" w:eastAsia="仿宋"/>
          <w:b/>
          <w:bCs/>
          <w:color w:val="000000"/>
          <w:sz w:val="20"/>
          <w:szCs w:val="20"/>
        </w:rPr>
      </w:pPr>
      <w:r>
        <w:rPr>
          <w:rFonts w:ascii="仿宋" w:hAnsi="仿宋" w:eastAsia="仿宋"/>
          <w:b/>
          <w:bCs/>
          <w:color w:val="000000"/>
          <w:sz w:val="20"/>
          <w:szCs w:val="20"/>
        </w:rPr>
        <w:t>单建统筹方式</w:t>
      </w:r>
    </w:p>
    <w:p>
      <w:pPr>
        <w:snapToGrid w:val="0"/>
        <w:spacing w:before="0" w:after="0" w:line="240" w:lineRule="auto"/>
        <w:ind w:firstLineChars="200"/>
        <w:jc w:val="both"/>
        <w:rPr>
          <w:rFonts w:ascii="仿宋" w:hAnsi="仿宋" w:eastAsia="仿宋"/>
          <w:color w:val="000000"/>
          <w:sz w:val="20"/>
          <w:szCs w:val="20"/>
        </w:rPr>
      </w:pPr>
      <w:r>
        <w:rPr>
          <w:rFonts w:ascii="仿宋" w:hAnsi="仿宋" w:eastAsia="仿宋"/>
          <w:color w:val="000000"/>
          <w:sz w:val="20"/>
          <w:szCs w:val="20"/>
        </w:rPr>
        <w:t>选择单建统筹方式的，每年按成都市上年度城镇职工平均工资的7.5%缴费，不建个人账户，普通门诊费用全部自理，住院医疗保险待遇和门诊特殊疾病待遇与选择统帐结合方式的人员相同。</w:t>
      </w:r>
    </w:p>
    <w:p>
      <w:pPr>
        <w:snapToGrid w:val="0"/>
        <w:spacing w:before="0" w:after="0" w:line="360" w:lineRule="auto"/>
        <w:jc w:val="both"/>
        <w:rPr>
          <w:rFonts w:ascii="仿宋" w:hAnsi="仿宋" w:eastAsia="仿宋"/>
          <w:b/>
          <w:bCs/>
          <w:color w:val="000000"/>
          <w:sz w:val="20"/>
          <w:szCs w:val="20"/>
        </w:rPr>
      </w:pPr>
      <w:r>
        <w:rPr>
          <w:rFonts w:ascii="仿宋" w:hAnsi="仿宋" w:eastAsia="仿宋"/>
          <w:b/>
          <w:bCs/>
          <w:color w:val="000000"/>
          <w:sz w:val="20"/>
          <w:szCs w:val="20"/>
        </w:rPr>
        <w:t>补充医疗保险</w:t>
      </w:r>
    </w:p>
    <w:p>
      <w:pPr>
        <w:snapToGrid w:val="0"/>
        <w:spacing w:before="0" w:after="0" w:line="240" w:lineRule="auto"/>
        <w:ind w:firstLineChars="200"/>
        <w:jc w:val="both"/>
        <w:rPr>
          <w:rFonts w:ascii="仿宋" w:hAnsi="仿宋" w:eastAsia="仿宋"/>
          <w:color w:val="000000"/>
          <w:sz w:val="20"/>
          <w:szCs w:val="20"/>
        </w:rPr>
      </w:pPr>
      <w:r>
        <w:rPr>
          <w:rFonts w:ascii="仿宋" w:hAnsi="仿宋" w:eastAsia="仿宋"/>
          <w:color w:val="000000"/>
          <w:sz w:val="20"/>
          <w:szCs w:val="20"/>
        </w:rPr>
        <w:t>接续参加基本医疗保险的人员可以同时参加住院补充医疗保险，住院补充医疗保险待遇与单位职工参保的待遇相同。</w:t>
      </w:r>
    </w:p>
    <w:sectPr>
      <w:footerReference r:id="rId3" w:type="default"/>
      <w:pgSz w:w="16838" w:h="11906"/>
      <w:pgMar w:top="1236" w:right="703" w:bottom="1293" w:left="7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before="0" w:after="0" w:line="240" w:lineRule="auto"/>
      <w:jc w:val="center"/>
      <w:rPr>
        <w:rFonts w:ascii="宋体" w:hAnsi="宋体" w:eastAsia="宋体"/>
        <w:b/>
        <w:bCs/>
        <w:color w:val="000000"/>
        <w:sz w:val="24"/>
        <w:szCs w:val="24"/>
      </w:rPr>
    </w:pPr>
    <w:r>
      <w:fldChar w:fldCharType="begin"/>
    </w:r>
    <w:r>
      <w:rPr>
        <w:rFonts w:ascii="宋体" w:hAnsi="宋体" w:eastAsia="宋体"/>
        <w:b/>
        <w:bCs/>
        <w:sz w:val="18"/>
        <w:szCs w:val="18"/>
      </w:rPr>
      <w:instrText xml:space="preserve">PAGE</w:instrText>
    </w:r>
    <w:r>
      <w:fldChar w:fldCharType="end"/>
    </w:r>
    <w:r>
      <w:rPr>
        <w:rFonts w:ascii="宋体" w:hAnsi="宋体" w:eastAsia="宋体"/>
        <w:color w:val="000000"/>
        <w:sz w:val="18"/>
        <w:szCs w:val="18"/>
      </w:rPr>
      <w:t>/</w:t>
    </w:r>
    <w:r>
      <w:fldChar w:fldCharType="begin"/>
    </w:r>
    <w:r>
      <w:rPr>
        <w:rFonts w:ascii="宋体" w:hAnsi="宋体" w:eastAsia="宋体"/>
        <w:b/>
        <w:bCs/>
        <w:sz w:val="18"/>
        <w:szCs w:val="18"/>
      </w:rPr>
      <w:instrText xml:space="preserve">NUMPAGES</w:instrText>
    </w:r>
    <w:r>
      <w:fldChar w:fldCharType="end"/>
    </w:r>
  </w:p>
  <w:p>
    <w:pPr>
      <w:snapToGrid w:val="0"/>
      <w:spacing w:before="0" w:after="0" w:line="240" w:lineRule="auto"/>
      <w:jc w:val="left"/>
      <w:rPr>
        <w:rFonts w:ascii="宋体" w:hAnsi="宋体" w:eastAsia="宋体"/>
        <w:color w:val="000000"/>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105E3B74"/>
    <w:rsid w:val="1C2C4424"/>
    <w:rsid w:val="1CD54CE6"/>
    <w:rsid w:val="1DEC38DC"/>
    <w:rsid w:val="30456175"/>
    <w:rsid w:val="36772279"/>
    <w:rsid w:val="434067C1"/>
    <w:rsid w:val="471556CE"/>
    <w:rsid w:val="4FC419BC"/>
    <w:rsid w:val="568D20C3"/>
    <w:rsid w:val="6EAF13B0"/>
    <w:rsid w:val="71061E72"/>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1153</Words>
  <Characters>1272</Characters>
  <Lines>1</Lines>
  <Paragraphs>1</Paragraphs>
  <TotalTime>281</TotalTime>
  <ScaleCrop>false</ScaleCrop>
  <LinksUpToDate>false</LinksUpToDate>
  <CharactersWithSpaces>1441</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Administrator</cp:lastModifiedBy>
  <cp:lastPrinted>2022-05-09T00:40:23Z</cp:lastPrinted>
  <dcterms:modified xsi:type="dcterms:W3CDTF">2022-05-09T05:12:27Z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ED9ABCA3558E440792CD4FCD3EBE62D3</vt:lpwstr>
  </property>
</Properties>
</file>