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DCF" w:rsidRPr="00B25027" w:rsidRDefault="00945DCF" w:rsidP="00945DCF">
      <w:pPr>
        <w:spacing w:line="560" w:lineRule="exact"/>
        <w:jc w:val="center"/>
        <w:rPr>
          <w:rFonts w:ascii="黑体" w:eastAsia="黑体" w:hint="eastAsia"/>
          <w:b/>
          <w:color w:val="000000"/>
          <w:sz w:val="32"/>
          <w:szCs w:val="32"/>
        </w:rPr>
      </w:pPr>
      <w:r w:rsidRPr="00B25027">
        <w:rPr>
          <w:rFonts w:ascii="黑体" w:eastAsia="黑体" w:hint="eastAsia"/>
          <w:b/>
          <w:color w:val="000000"/>
          <w:sz w:val="32"/>
          <w:szCs w:val="32"/>
        </w:rPr>
        <w:t>附件</w:t>
      </w:r>
      <w:r>
        <w:rPr>
          <w:rFonts w:ascii="黑体" w:eastAsia="黑体" w:hint="eastAsia"/>
          <w:b/>
          <w:color w:val="000000"/>
          <w:sz w:val="32"/>
          <w:szCs w:val="32"/>
        </w:rPr>
        <w:t>5</w:t>
      </w:r>
      <w:r w:rsidRPr="00B25027">
        <w:rPr>
          <w:rFonts w:ascii="黑体" w:eastAsia="黑体" w:hint="eastAsia"/>
          <w:b/>
          <w:color w:val="000000"/>
          <w:sz w:val="32"/>
          <w:szCs w:val="32"/>
        </w:rPr>
        <w:t>：省本级城镇职工基本</w:t>
      </w:r>
      <w:r w:rsidRPr="00B25027">
        <w:rPr>
          <w:rFonts w:ascii="黑体" w:eastAsia="黑体"/>
          <w:b/>
          <w:color w:val="000000"/>
          <w:sz w:val="32"/>
          <w:szCs w:val="32"/>
        </w:rPr>
        <w:t>医疗保险部分高值药品病种及用药事前审核标准</w:t>
      </w:r>
    </w:p>
    <w:p w:rsidR="00945DCF" w:rsidRPr="00B21BB3" w:rsidRDefault="00945DCF" w:rsidP="00945DCF">
      <w:pPr>
        <w:spacing w:line="560" w:lineRule="exact"/>
        <w:jc w:val="center"/>
        <w:rPr>
          <w:rFonts w:ascii="黑体" w:eastAsia="黑体" w:hint="eastAsia"/>
          <w:color w:val="000000"/>
          <w:sz w:val="28"/>
          <w:szCs w:val="28"/>
        </w:rPr>
      </w:pPr>
    </w:p>
    <w:tbl>
      <w:tblPr>
        <w:tblW w:w="0" w:type="auto"/>
        <w:jc w:val="center"/>
        <w:tblLayout w:type="fixed"/>
        <w:tblLook w:val="0000"/>
      </w:tblPr>
      <w:tblGrid>
        <w:gridCol w:w="1240"/>
        <w:gridCol w:w="1080"/>
        <w:gridCol w:w="1880"/>
        <w:gridCol w:w="1620"/>
        <w:gridCol w:w="2860"/>
        <w:gridCol w:w="4040"/>
        <w:gridCol w:w="1080"/>
      </w:tblGrid>
      <w:tr w:rsidR="00945DCF" w:rsidTr="0044611F">
        <w:trPr>
          <w:trHeight w:val="540"/>
          <w:jc w:val="center"/>
        </w:trPr>
        <w:tc>
          <w:tcPr>
            <w:tcW w:w="1240" w:type="dxa"/>
            <w:tcBorders>
              <w:top w:val="single" w:sz="4" w:space="0" w:color="000000"/>
              <w:left w:val="single" w:sz="4" w:space="0" w:color="000000"/>
              <w:bottom w:val="single" w:sz="4" w:space="0" w:color="000000"/>
              <w:right w:val="single" w:sz="4" w:space="0" w:color="000000"/>
            </w:tcBorders>
            <w:vAlign w:val="center"/>
          </w:tcPr>
          <w:p w:rsidR="00945DCF" w:rsidRDefault="00945DCF" w:rsidP="0044611F">
            <w:pPr>
              <w:widowControl/>
              <w:jc w:val="center"/>
              <w:rPr>
                <w:b/>
                <w:bCs/>
                <w:kern w:val="0"/>
                <w:sz w:val="22"/>
              </w:rPr>
            </w:pPr>
            <w:r>
              <w:rPr>
                <w:b/>
                <w:bCs/>
                <w:kern w:val="0"/>
                <w:sz w:val="22"/>
              </w:rPr>
              <w:t>通用名</w:t>
            </w:r>
          </w:p>
        </w:tc>
        <w:tc>
          <w:tcPr>
            <w:tcW w:w="1080" w:type="dxa"/>
            <w:tcBorders>
              <w:top w:val="single" w:sz="4" w:space="0" w:color="000000"/>
              <w:left w:val="nil"/>
              <w:bottom w:val="single" w:sz="4" w:space="0" w:color="000000"/>
              <w:right w:val="single" w:sz="4" w:space="0" w:color="000000"/>
            </w:tcBorders>
            <w:vAlign w:val="center"/>
          </w:tcPr>
          <w:p w:rsidR="00945DCF" w:rsidRDefault="00945DCF" w:rsidP="0044611F">
            <w:pPr>
              <w:widowControl/>
              <w:jc w:val="center"/>
              <w:rPr>
                <w:b/>
                <w:bCs/>
                <w:kern w:val="0"/>
                <w:sz w:val="22"/>
              </w:rPr>
            </w:pPr>
            <w:r>
              <w:rPr>
                <w:b/>
                <w:bCs/>
                <w:kern w:val="0"/>
                <w:sz w:val="22"/>
              </w:rPr>
              <w:t>剂型</w:t>
            </w:r>
          </w:p>
        </w:tc>
        <w:tc>
          <w:tcPr>
            <w:tcW w:w="1880" w:type="dxa"/>
            <w:tcBorders>
              <w:top w:val="single" w:sz="4" w:space="0" w:color="000000"/>
              <w:left w:val="nil"/>
              <w:bottom w:val="single" w:sz="4" w:space="0" w:color="000000"/>
              <w:right w:val="single" w:sz="4" w:space="0" w:color="000000"/>
            </w:tcBorders>
            <w:vAlign w:val="center"/>
          </w:tcPr>
          <w:p w:rsidR="00945DCF" w:rsidRDefault="00945DCF" w:rsidP="0044611F">
            <w:pPr>
              <w:widowControl/>
              <w:jc w:val="center"/>
              <w:rPr>
                <w:b/>
                <w:bCs/>
                <w:kern w:val="0"/>
                <w:sz w:val="22"/>
              </w:rPr>
            </w:pPr>
            <w:r>
              <w:rPr>
                <w:b/>
                <w:bCs/>
                <w:kern w:val="0"/>
                <w:sz w:val="22"/>
              </w:rPr>
              <w:t>适用范围</w:t>
            </w:r>
          </w:p>
        </w:tc>
        <w:tc>
          <w:tcPr>
            <w:tcW w:w="1620" w:type="dxa"/>
            <w:tcBorders>
              <w:top w:val="single" w:sz="4" w:space="0" w:color="000000"/>
              <w:left w:val="nil"/>
              <w:bottom w:val="single" w:sz="4" w:space="0" w:color="000000"/>
              <w:right w:val="single" w:sz="4" w:space="0" w:color="000000"/>
            </w:tcBorders>
            <w:vAlign w:val="center"/>
          </w:tcPr>
          <w:p w:rsidR="00945DCF" w:rsidRDefault="00945DCF" w:rsidP="0044611F">
            <w:pPr>
              <w:widowControl/>
              <w:jc w:val="center"/>
              <w:rPr>
                <w:b/>
                <w:bCs/>
                <w:kern w:val="0"/>
                <w:sz w:val="22"/>
              </w:rPr>
            </w:pPr>
            <w:r>
              <w:rPr>
                <w:b/>
                <w:bCs/>
                <w:kern w:val="0"/>
                <w:sz w:val="22"/>
              </w:rPr>
              <w:t>适用病种</w:t>
            </w:r>
          </w:p>
        </w:tc>
        <w:tc>
          <w:tcPr>
            <w:tcW w:w="2860" w:type="dxa"/>
            <w:tcBorders>
              <w:top w:val="single" w:sz="4" w:space="0" w:color="000000"/>
              <w:left w:val="nil"/>
              <w:bottom w:val="single" w:sz="4" w:space="0" w:color="000000"/>
              <w:right w:val="single" w:sz="4" w:space="0" w:color="000000"/>
            </w:tcBorders>
            <w:vAlign w:val="center"/>
          </w:tcPr>
          <w:p w:rsidR="00945DCF" w:rsidRDefault="00945DCF" w:rsidP="0044611F">
            <w:pPr>
              <w:widowControl/>
              <w:jc w:val="center"/>
              <w:rPr>
                <w:b/>
                <w:bCs/>
                <w:kern w:val="0"/>
                <w:sz w:val="22"/>
              </w:rPr>
            </w:pPr>
            <w:r>
              <w:rPr>
                <w:b/>
                <w:bCs/>
                <w:kern w:val="0"/>
                <w:sz w:val="22"/>
              </w:rPr>
              <w:t>事前审核标准</w:t>
            </w:r>
          </w:p>
        </w:tc>
        <w:tc>
          <w:tcPr>
            <w:tcW w:w="4040" w:type="dxa"/>
            <w:tcBorders>
              <w:top w:val="single" w:sz="4" w:space="0" w:color="000000"/>
              <w:left w:val="nil"/>
              <w:bottom w:val="single" w:sz="4" w:space="0" w:color="000000"/>
              <w:right w:val="single" w:sz="4" w:space="0" w:color="000000"/>
            </w:tcBorders>
            <w:vAlign w:val="center"/>
          </w:tcPr>
          <w:p w:rsidR="00945DCF" w:rsidRDefault="00945DCF" w:rsidP="0044611F">
            <w:pPr>
              <w:widowControl/>
              <w:jc w:val="center"/>
              <w:rPr>
                <w:b/>
                <w:bCs/>
                <w:kern w:val="0"/>
                <w:sz w:val="22"/>
              </w:rPr>
            </w:pPr>
            <w:r>
              <w:rPr>
                <w:b/>
                <w:bCs/>
                <w:kern w:val="0"/>
                <w:sz w:val="22"/>
              </w:rPr>
              <w:t>所需证明材料</w:t>
            </w:r>
          </w:p>
        </w:tc>
        <w:tc>
          <w:tcPr>
            <w:tcW w:w="1080" w:type="dxa"/>
            <w:tcBorders>
              <w:top w:val="single" w:sz="4" w:space="0" w:color="000000"/>
              <w:left w:val="nil"/>
              <w:bottom w:val="single" w:sz="4" w:space="0" w:color="000000"/>
              <w:right w:val="single" w:sz="4" w:space="0" w:color="000000"/>
            </w:tcBorders>
            <w:vAlign w:val="center"/>
          </w:tcPr>
          <w:p w:rsidR="00945DCF" w:rsidRDefault="00945DCF" w:rsidP="0044611F">
            <w:pPr>
              <w:widowControl/>
              <w:jc w:val="center"/>
              <w:rPr>
                <w:b/>
                <w:bCs/>
                <w:kern w:val="0"/>
                <w:sz w:val="22"/>
              </w:rPr>
            </w:pPr>
            <w:r>
              <w:rPr>
                <w:b/>
                <w:bCs/>
                <w:kern w:val="0"/>
                <w:sz w:val="22"/>
              </w:rPr>
              <w:t>治疗评估周期</w:t>
            </w:r>
          </w:p>
        </w:tc>
      </w:tr>
      <w:tr w:rsidR="00945DCF" w:rsidTr="0044611F">
        <w:trPr>
          <w:trHeight w:val="1080"/>
          <w:jc w:val="center"/>
        </w:trPr>
        <w:tc>
          <w:tcPr>
            <w:tcW w:w="1240" w:type="dxa"/>
            <w:tcBorders>
              <w:top w:val="nil"/>
              <w:left w:val="single" w:sz="4" w:space="0" w:color="000000"/>
              <w:bottom w:val="single" w:sz="4" w:space="0" w:color="000000"/>
              <w:right w:val="single" w:sz="4" w:space="0" w:color="000000"/>
            </w:tcBorders>
            <w:vAlign w:val="center"/>
          </w:tcPr>
          <w:p w:rsidR="00945DCF" w:rsidRPr="00B21BB3" w:rsidRDefault="00945DCF" w:rsidP="0044611F">
            <w:pPr>
              <w:widowControl/>
              <w:jc w:val="left"/>
              <w:textAlignment w:val="center"/>
              <w:rPr>
                <w:color w:val="000000"/>
                <w:sz w:val="20"/>
                <w:szCs w:val="20"/>
              </w:rPr>
            </w:pPr>
            <w:r w:rsidRPr="00B21BB3">
              <w:rPr>
                <w:color w:val="000000"/>
                <w:sz w:val="20"/>
                <w:szCs w:val="20"/>
              </w:rPr>
              <w:t>埃</w:t>
            </w:r>
            <w:proofErr w:type="gramStart"/>
            <w:r w:rsidRPr="00B21BB3">
              <w:rPr>
                <w:color w:val="000000"/>
                <w:sz w:val="20"/>
                <w:szCs w:val="20"/>
              </w:rPr>
              <w:t>克替尼</w:t>
            </w:r>
            <w:proofErr w:type="gramEnd"/>
          </w:p>
        </w:tc>
        <w:tc>
          <w:tcPr>
            <w:tcW w:w="1080" w:type="dxa"/>
            <w:tcBorders>
              <w:top w:val="nil"/>
              <w:left w:val="nil"/>
              <w:bottom w:val="single" w:sz="4" w:space="0" w:color="000000"/>
              <w:right w:val="single" w:sz="4" w:space="0" w:color="000000"/>
            </w:tcBorders>
            <w:vAlign w:val="center"/>
          </w:tcPr>
          <w:p w:rsidR="00945DCF" w:rsidRPr="00B21BB3" w:rsidRDefault="00945DCF" w:rsidP="0044611F">
            <w:pPr>
              <w:widowControl/>
              <w:jc w:val="left"/>
              <w:textAlignment w:val="center"/>
              <w:rPr>
                <w:color w:val="000000"/>
                <w:sz w:val="20"/>
                <w:szCs w:val="20"/>
              </w:rPr>
            </w:pPr>
            <w:r w:rsidRPr="00B21BB3">
              <w:rPr>
                <w:color w:val="000000"/>
                <w:sz w:val="20"/>
                <w:szCs w:val="20"/>
              </w:rPr>
              <w:t>口服常释剂型</w:t>
            </w:r>
          </w:p>
        </w:tc>
        <w:tc>
          <w:tcPr>
            <w:tcW w:w="1880" w:type="dxa"/>
            <w:tcBorders>
              <w:top w:val="nil"/>
              <w:left w:val="nil"/>
              <w:bottom w:val="single" w:sz="4" w:space="0" w:color="000000"/>
              <w:right w:val="single" w:sz="4" w:space="0" w:color="000000"/>
            </w:tcBorders>
            <w:vAlign w:val="center"/>
          </w:tcPr>
          <w:p w:rsidR="00945DCF" w:rsidRPr="00B21BB3" w:rsidRDefault="00945DCF" w:rsidP="0044611F">
            <w:pPr>
              <w:widowControl/>
              <w:jc w:val="left"/>
              <w:textAlignment w:val="center"/>
              <w:rPr>
                <w:color w:val="000000"/>
                <w:sz w:val="20"/>
                <w:szCs w:val="20"/>
              </w:rPr>
            </w:pPr>
            <w:r w:rsidRPr="00B21BB3">
              <w:rPr>
                <w:color w:val="000000"/>
                <w:sz w:val="20"/>
                <w:szCs w:val="20"/>
              </w:rPr>
              <w:t>限</w:t>
            </w:r>
            <w:r w:rsidRPr="00B21BB3">
              <w:rPr>
                <w:color w:val="000000"/>
                <w:sz w:val="20"/>
                <w:szCs w:val="20"/>
              </w:rPr>
              <w:t>EGFR</w:t>
            </w:r>
            <w:r w:rsidRPr="00B21BB3">
              <w:rPr>
                <w:color w:val="000000"/>
                <w:sz w:val="20"/>
                <w:szCs w:val="20"/>
              </w:rPr>
              <w:t>基因敏感突变的晚期非小细胞肺癌。</w:t>
            </w:r>
          </w:p>
        </w:tc>
        <w:tc>
          <w:tcPr>
            <w:tcW w:w="1620" w:type="dxa"/>
            <w:tcBorders>
              <w:top w:val="nil"/>
              <w:left w:val="nil"/>
              <w:bottom w:val="single" w:sz="4" w:space="0" w:color="000000"/>
              <w:right w:val="single" w:sz="4" w:space="0" w:color="000000"/>
            </w:tcBorders>
            <w:vAlign w:val="center"/>
          </w:tcPr>
          <w:p w:rsidR="00945DCF" w:rsidRPr="00B21BB3" w:rsidRDefault="00945DCF" w:rsidP="0044611F">
            <w:pPr>
              <w:widowControl/>
              <w:jc w:val="left"/>
              <w:textAlignment w:val="center"/>
              <w:rPr>
                <w:color w:val="000000"/>
                <w:sz w:val="20"/>
                <w:szCs w:val="20"/>
              </w:rPr>
            </w:pPr>
            <w:r w:rsidRPr="00B21BB3">
              <w:rPr>
                <w:color w:val="000000"/>
                <w:sz w:val="20"/>
                <w:szCs w:val="20"/>
              </w:rPr>
              <w:t>非小细胞肺癌</w:t>
            </w:r>
          </w:p>
        </w:tc>
        <w:tc>
          <w:tcPr>
            <w:tcW w:w="2860" w:type="dxa"/>
            <w:tcBorders>
              <w:top w:val="nil"/>
              <w:left w:val="nil"/>
              <w:bottom w:val="single" w:sz="4" w:space="0" w:color="000000"/>
              <w:right w:val="single" w:sz="4" w:space="0" w:color="000000"/>
            </w:tcBorders>
            <w:vAlign w:val="center"/>
          </w:tcPr>
          <w:p w:rsidR="00945DCF" w:rsidRPr="00B21BB3" w:rsidRDefault="00945DCF" w:rsidP="0044611F">
            <w:pPr>
              <w:widowControl/>
              <w:jc w:val="left"/>
              <w:textAlignment w:val="center"/>
              <w:rPr>
                <w:color w:val="000000"/>
                <w:sz w:val="20"/>
                <w:szCs w:val="20"/>
              </w:rPr>
            </w:pPr>
            <w:r w:rsidRPr="00B21BB3">
              <w:rPr>
                <w:color w:val="000000"/>
                <w:sz w:val="20"/>
                <w:szCs w:val="20"/>
              </w:rPr>
              <w:t>1.</w:t>
            </w:r>
            <w:r w:rsidRPr="00B21BB3">
              <w:rPr>
                <w:color w:val="000000"/>
                <w:sz w:val="20"/>
                <w:szCs w:val="20"/>
              </w:rPr>
              <w:t>病理学诊断符合非小细胞肺癌；</w:t>
            </w:r>
            <w:r w:rsidRPr="00B21BB3">
              <w:rPr>
                <w:color w:val="000000"/>
                <w:sz w:val="20"/>
                <w:szCs w:val="20"/>
              </w:rPr>
              <w:t>2.EGFR</w:t>
            </w:r>
            <w:r w:rsidRPr="00B21BB3">
              <w:rPr>
                <w:color w:val="000000"/>
                <w:sz w:val="20"/>
                <w:szCs w:val="20"/>
              </w:rPr>
              <w:t>基因检测敏感突变；</w:t>
            </w:r>
            <w:r w:rsidRPr="00B21BB3">
              <w:rPr>
                <w:color w:val="000000"/>
                <w:sz w:val="20"/>
                <w:szCs w:val="20"/>
              </w:rPr>
              <w:t>3.</w:t>
            </w:r>
            <w:r w:rsidRPr="00B21BB3">
              <w:rPr>
                <w:color w:val="000000"/>
                <w:sz w:val="20"/>
                <w:szCs w:val="20"/>
              </w:rPr>
              <w:t>晚期（</w:t>
            </w:r>
            <w:proofErr w:type="spellStart"/>
            <w:r w:rsidRPr="00B21BB3">
              <w:rPr>
                <w:color w:val="000000"/>
                <w:sz w:val="20"/>
                <w:szCs w:val="20"/>
              </w:rPr>
              <w:t>Ⅲb</w:t>
            </w:r>
            <w:proofErr w:type="spellEnd"/>
            <w:r w:rsidRPr="00B21BB3">
              <w:rPr>
                <w:color w:val="000000"/>
                <w:sz w:val="20"/>
                <w:szCs w:val="20"/>
              </w:rPr>
              <w:t>-Ⅳ</w:t>
            </w:r>
            <w:r w:rsidRPr="00B21BB3">
              <w:rPr>
                <w:color w:val="000000"/>
                <w:sz w:val="20"/>
                <w:szCs w:val="20"/>
              </w:rPr>
              <w:t>期）。</w:t>
            </w:r>
          </w:p>
        </w:tc>
        <w:tc>
          <w:tcPr>
            <w:tcW w:w="4040" w:type="dxa"/>
            <w:tcBorders>
              <w:top w:val="nil"/>
              <w:left w:val="nil"/>
              <w:bottom w:val="single" w:sz="4" w:space="0" w:color="000000"/>
              <w:right w:val="single" w:sz="4" w:space="0" w:color="000000"/>
            </w:tcBorders>
            <w:vAlign w:val="center"/>
          </w:tcPr>
          <w:p w:rsidR="00945DCF" w:rsidRPr="00B21BB3" w:rsidRDefault="00945DCF" w:rsidP="0044611F">
            <w:pPr>
              <w:widowControl/>
              <w:jc w:val="left"/>
              <w:textAlignment w:val="center"/>
              <w:rPr>
                <w:color w:val="000000"/>
                <w:sz w:val="20"/>
                <w:szCs w:val="20"/>
              </w:rPr>
            </w:pPr>
            <w:r w:rsidRPr="00B21BB3">
              <w:rPr>
                <w:color w:val="000000"/>
                <w:sz w:val="20"/>
                <w:szCs w:val="20"/>
              </w:rPr>
              <w:t>1.</w:t>
            </w:r>
            <w:r w:rsidRPr="00B21BB3">
              <w:rPr>
                <w:color w:val="000000"/>
                <w:sz w:val="20"/>
                <w:szCs w:val="20"/>
              </w:rPr>
              <w:t>病情诊断证明书；</w:t>
            </w:r>
            <w:r w:rsidRPr="00B21BB3">
              <w:rPr>
                <w:color w:val="000000"/>
                <w:sz w:val="20"/>
                <w:szCs w:val="20"/>
              </w:rPr>
              <w:t>2.</w:t>
            </w:r>
            <w:r w:rsidRPr="00B21BB3">
              <w:rPr>
                <w:color w:val="000000"/>
                <w:sz w:val="20"/>
                <w:szCs w:val="20"/>
              </w:rPr>
              <w:t>病理学检查；</w:t>
            </w:r>
            <w:r w:rsidRPr="00B21BB3">
              <w:rPr>
                <w:color w:val="000000"/>
                <w:sz w:val="20"/>
                <w:szCs w:val="20"/>
              </w:rPr>
              <w:t>3.EGFR</w:t>
            </w:r>
            <w:r w:rsidRPr="00B21BB3">
              <w:rPr>
                <w:color w:val="000000"/>
                <w:sz w:val="20"/>
                <w:szCs w:val="20"/>
              </w:rPr>
              <w:t>基因检测敏感突变；</w:t>
            </w:r>
            <w:r w:rsidRPr="00B21BB3">
              <w:rPr>
                <w:color w:val="000000"/>
                <w:sz w:val="20"/>
                <w:szCs w:val="20"/>
              </w:rPr>
              <w:t>4.</w:t>
            </w:r>
            <w:r w:rsidRPr="00B21BB3">
              <w:rPr>
                <w:color w:val="000000"/>
                <w:sz w:val="20"/>
                <w:szCs w:val="20"/>
              </w:rPr>
              <w:t>影像学检查报告。</w:t>
            </w:r>
          </w:p>
        </w:tc>
        <w:tc>
          <w:tcPr>
            <w:tcW w:w="1080" w:type="dxa"/>
            <w:tcBorders>
              <w:top w:val="nil"/>
              <w:left w:val="nil"/>
              <w:bottom w:val="single" w:sz="4" w:space="0" w:color="000000"/>
              <w:right w:val="single" w:sz="4" w:space="0" w:color="000000"/>
            </w:tcBorders>
            <w:vAlign w:val="center"/>
          </w:tcPr>
          <w:p w:rsidR="00945DCF" w:rsidRDefault="00945DCF" w:rsidP="0044611F">
            <w:pPr>
              <w:widowControl/>
              <w:jc w:val="center"/>
              <w:rPr>
                <w:kern w:val="0"/>
                <w:sz w:val="22"/>
              </w:rPr>
            </w:pPr>
            <w:r>
              <w:rPr>
                <w:kern w:val="0"/>
                <w:sz w:val="22"/>
              </w:rPr>
              <w:t>6-8</w:t>
            </w:r>
            <w:r>
              <w:rPr>
                <w:kern w:val="0"/>
                <w:sz w:val="22"/>
              </w:rPr>
              <w:t>周</w:t>
            </w:r>
          </w:p>
        </w:tc>
      </w:tr>
      <w:tr w:rsidR="00945DCF" w:rsidTr="0044611F">
        <w:trPr>
          <w:trHeight w:val="2970"/>
          <w:jc w:val="center"/>
        </w:trPr>
        <w:tc>
          <w:tcPr>
            <w:tcW w:w="1240" w:type="dxa"/>
            <w:tcBorders>
              <w:top w:val="nil"/>
              <w:left w:val="single" w:sz="4" w:space="0" w:color="000000"/>
              <w:bottom w:val="single" w:sz="4" w:space="0" w:color="000000"/>
              <w:right w:val="single" w:sz="4" w:space="0" w:color="000000"/>
            </w:tcBorders>
            <w:vAlign w:val="center"/>
          </w:tcPr>
          <w:p w:rsidR="00945DCF" w:rsidRPr="00B21BB3" w:rsidRDefault="00945DCF" w:rsidP="0044611F">
            <w:pPr>
              <w:widowControl/>
              <w:jc w:val="left"/>
              <w:textAlignment w:val="center"/>
              <w:rPr>
                <w:color w:val="000000"/>
                <w:sz w:val="20"/>
                <w:szCs w:val="20"/>
              </w:rPr>
            </w:pPr>
            <w:r w:rsidRPr="00B21BB3">
              <w:rPr>
                <w:color w:val="000000"/>
                <w:sz w:val="20"/>
                <w:szCs w:val="20"/>
              </w:rPr>
              <w:t>达</w:t>
            </w:r>
            <w:proofErr w:type="gramStart"/>
            <w:r w:rsidRPr="00B21BB3">
              <w:rPr>
                <w:color w:val="000000"/>
                <w:sz w:val="20"/>
                <w:szCs w:val="20"/>
              </w:rPr>
              <w:t>沙替尼</w:t>
            </w:r>
            <w:proofErr w:type="gramEnd"/>
          </w:p>
        </w:tc>
        <w:tc>
          <w:tcPr>
            <w:tcW w:w="1080" w:type="dxa"/>
            <w:tcBorders>
              <w:top w:val="nil"/>
              <w:left w:val="nil"/>
              <w:bottom w:val="single" w:sz="4" w:space="0" w:color="000000"/>
              <w:right w:val="single" w:sz="4" w:space="0" w:color="000000"/>
            </w:tcBorders>
            <w:vAlign w:val="center"/>
          </w:tcPr>
          <w:p w:rsidR="00945DCF" w:rsidRPr="00B21BB3" w:rsidRDefault="00945DCF" w:rsidP="0044611F">
            <w:pPr>
              <w:widowControl/>
              <w:jc w:val="left"/>
              <w:textAlignment w:val="center"/>
              <w:rPr>
                <w:color w:val="000000"/>
                <w:sz w:val="20"/>
                <w:szCs w:val="20"/>
              </w:rPr>
            </w:pPr>
            <w:r w:rsidRPr="00B21BB3">
              <w:rPr>
                <w:color w:val="000000"/>
                <w:sz w:val="20"/>
                <w:szCs w:val="20"/>
              </w:rPr>
              <w:t>口服常释剂型</w:t>
            </w:r>
          </w:p>
        </w:tc>
        <w:tc>
          <w:tcPr>
            <w:tcW w:w="1880" w:type="dxa"/>
            <w:tcBorders>
              <w:top w:val="nil"/>
              <w:left w:val="nil"/>
              <w:bottom w:val="single" w:sz="4" w:space="0" w:color="000000"/>
              <w:right w:val="single" w:sz="4" w:space="0" w:color="000000"/>
            </w:tcBorders>
            <w:vAlign w:val="center"/>
          </w:tcPr>
          <w:p w:rsidR="00945DCF" w:rsidRPr="00B21BB3" w:rsidRDefault="00945DCF" w:rsidP="0044611F">
            <w:pPr>
              <w:widowControl/>
              <w:jc w:val="left"/>
              <w:textAlignment w:val="center"/>
              <w:rPr>
                <w:color w:val="000000"/>
                <w:sz w:val="20"/>
                <w:szCs w:val="20"/>
              </w:rPr>
            </w:pPr>
            <w:proofErr w:type="gramStart"/>
            <w:r w:rsidRPr="00B21BB3">
              <w:rPr>
                <w:color w:val="000000"/>
                <w:sz w:val="20"/>
                <w:szCs w:val="20"/>
              </w:rPr>
              <w:t>限对伊马替尼</w:t>
            </w:r>
            <w:proofErr w:type="gramEnd"/>
            <w:r w:rsidRPr="00B21BB3">
              <w:rPr>
                <w:color w:val="000000"/>
                <w:sz w:val="20"/>
                <w:szCs w:val="20"/>
              </w:rPr>
              <w:t>耐药或</w:t>
            </w:r>
            <w:proofErr w:type="gramStart"/>
            <w:r w:rsidRPr="00B21BB3">
              <w:rPr>
                <w:color w:val="000000"/>
                <w:sz w:val="20"/>
                <w:szCs w:val="20"/>
              </w:rPr>
              <w:t>不</w:t>
            </w:r>
            <w:proofErr w:type="gramEnd"/>
            <w:r w:rsidRPr="00B21BB3">
              <w:rPr>
                <w:color w:val="000000"/>
                <w:sz w:val="20"/>
                <w:szCs w:val="20"/>
              </w:rPr>
              <w:t>耐受的慢性</w:t>
            </w:r>
            <w:proofErr w:type="gramStart"/>
            <w:r w:rsidRPr="00B21BB3">
              <w:rPr>
                <w:color w:val="000000"/>
                <w:sz w:val="20"/>
                <w:szCs w:val="20"/>
              </w:rPr>
              <w:t>髓</w:t>
            </w:r>
            <w:proofErr w:type="gramEnd"/>
            <w:r w:rsidRPr="00B21BB3">
              <w:rPr>
                <w:color w:val="000000"/>
                <w:sz w:val="20"/>
                <w:szCs w:val="20"/>
              </w:rPr>
              <w:t>细胞白血病</w:t>
            </w:r>
          </w:p>
        </w:tc>
        <w:tc>
          <w:tcPr>
            <w:tcW w:w="1620" w:type="dxa"/>
            <w:tcBorders>
              <w:top w:val="nil"/>
              <w:left w:val="nil"/>
              <w:bottom w:val="single" w:sz="4" w:space="0" w:color="000000"/>
              <w:right w:val="single" w:sz="4" w:space="0" w:color="000000"/>
            </w:tcBorders>
            <w:vAlign w:val="center"/>
          </w:tcPr>
          <w:p w:rsidR="00945DCF" w:rsidRPr="00B21BB3" w:rsidRDefault="00945DCF" w:rsidP="0044611F">
            <w:pPr>
              <w:widowControl/>
              <w:jc w:val="left"/>
              <w:textAlignment w:val="center"/>
              <w:rPr>
                <w:color w:val="000000"/>
                <w:sz w:val="20"/>
                <w:szCs w:val="20"/>
              </w:rPr>
            </w:pPr>
            <w:r w:rsidRPr="00B21BB3">
              <w:rPr>
                <w:color w:val="000000"/>
                <w:sz w:val="20"/>
                <w:szCs w:val="20"/>
              </w:rPr>
              <w:t>慢性</w:t>
            </w:r>
            <w:proofErr w:type="gramStart"/>
            <w:r w:rsidRPr="00B21BB3">
              <w:rPr>
                <w:color w:val="000000"/>
                <w:sz w:val="20"/>
                <w:szCs w:val="20"/>
              </w:rPr>
              <w:t>髓</w:t>
            </w:r>
            <w:proofErr w:type="gramEnd"/>
            <w:r w:rsidRPr="00B21BB3">
              <w:rPr>
                <w:color w:val="000000"/>
                <w:sz w:val="20"/>
                <w:szCs w:val="20"/>
              </w:rPr>
              <w:t>细胞</w:t>
            </w:r>
          </w:p>
          <w:p w:rsidR="00945DCF" w:rsidRPr="00B21BB3" w:rsidRDefault="00945DCF" w:rsidP="0044611F">
            <w:pPr>
              <w:widowControl/>
              <w:jc w:val="left"/>
              <w:textAlignment w:val="center"/>
              <w:rPr>
                <w:color w:val="000000"/>
                <w:sz w:val="20"/>
                <w:szCs w:val="20"/>
              </w:rPr>
            </w:pPr>
            <w:r w:rsidRPr="00B21BB3">
              <w:rPr>
                <w:color w:val="000000"/>
                <w:sz w:val="20"/>
                <w:szCs w:val="20"/>
              </w:rPr>
              <w:t>白血病</w:t>
            </w:r>
          </w:p>
        </w:tc>
        <w:tc>
          <w:tcPr>
            <w:tcW w:w="2860" w:type="dxa"/>
            <w:tcBorders>
              <w:top w:val="nil"/>
              <w:left w:val="nil"/>
              <w:bottom w:val="single" w:sz="4" w:space="0" w:color="000000"/>
              <w:right w:val="single" w:sz="4" w:space="0" w:color="000000"/>
            </w:tcBorders>
            <w:vAlign w:val="center"/>
          </w:tcPr>
          <w:p w:rsidR="00945DCF" w:rsidRPr="00B21BB3" w:rsidRDefault="00945DCF" w:rsidP="0044611F">
            <w:pPr>
              <w:widowControl/>
              <w:jc w:val="left"/>
              <w:textAlignment w:val="center"/>
              <w:rPr>
                <w:color w:val="000000"/>
                <w:sz w:val="20"/>
                <w:szCs w:val="20"/>
              </w:rPr>
            </w:pPr>
            <w:r w:rsidRPr="00B21BB3">
              <w:rPr>
                <w:color w:val="000000"/>
                <w:sz w:val="20"/>
                <w:szCs w:val="20"/>
              </w:rPr>
              <w:t>1.</w:t>
            </w:r>
            <w:r w:rsidRPr="00B21BB3">
              <w:rPr>
                <w:color w:val="000000"/>
                <w:sz w:val="20"/>
                <w:szCs w:val="20"/>
              </w:rPr>
              <w:t>血液及骨髓检查符合慢性</w:t>
            </w:r>
            <w:proofErr w:type="gramStart"/>
            <w:r w:rsidRPr="00B21BB3">
              <w:rPr>
                <w:color w:val="000000"/>
                <w:sz w:val="20"/>
                <w:szCs w:val="20"/>
              </w:rPr>
              <w:t>髓</w:t>
            </w:r>
            <w:proofErr w:type="gramEnd"/>
            <w:r w:rsidRPr="00B21BB3">
              <w:rPr>
                <w:color w:val="000000"/>
                <w:sz w:val="20"/>
                <w:szCs w:val="20"/>
              </w:rPr>
              <w:t>细胞白血病；</w:t>
            </w:r>
            <w:r w:rsidRPr="00B21BB3">
              <w:rPr>
                <w:color w:val="000000"/>
                <w:sz w:val="20"/>
                <w:szCs w:val="20"/>
              </w:rPr>
              <w:t>2.</w:t>
            </w:r>
            <w:r w:rsidRPr="00B21BB3">
              <w:rPr>
                <w:color w:val="000000"/>
                <w:sz w:val="20"/>
                <w:szCs w:val="20"/>
              </w:rPr>
              <w:t>对伊</w:t>
            </w:r>
            <w:proofErr w:type="gramStart"/>
            <w:r w:rsidRPr="00B21BB3">
              <w:rPr>
                <w:color w:val="000000"/>
                <w:sz w:val="20"/>
                <w:szCs w:val="20"/>
              </w:rPr>
              <w:t>马替尼</w:t>
            </w:r>
            <w:proofErr w:type="gramEnd"/>
            <w:r w:rsidRPr="00B21BB3">
              <w:rPr>
                <w:color w:val="000000"/>
                <w:sz w:val="20"/>
                <w:szCs w:val="20"/>
              </w:rPr>
              <w:t>耐药或</w:t>
            </w:r>
            <w:proofErr w:type="gramStart"/>
            <w:r w:rsidRPr="00B21BB3">
              <w:rPr>
                <w:color w:val="000000"/>
                <w:sz w:val="20"/>
                <w:szCs w:val="20"/>
              </w:rPr>
              <w:t>不</w:t>
            </w:r>
            <w:proofErr w:type="gramEnd"/>
            <w:r w:rsidRPr="00B21BB3">
              <w:rPr>
                <w:color w:val="000000"/>
                <w:sz w:val="20"/>
                <w:szCs w:val="20"/>
              </w:rPr>
              <w:t>耐受。</w:t>
            </w:r>
          </w:p>
        </w:tc>
        <w:tc>
          <w:tcPr>
            <w:tcW w:w="4040" w:type="dxa"/>
            <w:tcBorders>
              <w:top w:val="nil"/>
              <w:left w:val="nil"/>
              <w:bottom w:val="single" w:sz="4" w:space="0" w:color="000000"/>
              <w:right w:val="single" w:sz="4" w:space="0" w:color="000000"/>
            </w:tcBorders>
            <w:vAlign w:val="center"/>
          </w:tcPr>
          <w:p w:rsidR="00945DCF" w:rsidRPr="00B21BB3" w:rsidRDefault="00945DCF" w:rsidP="0044611F">
            <w:pPr>
              <w:widowControl/>
              <w:jc w:val="left"/>
              <w:textAlignment w:val="center"/>
              <w:rPr>
                <w:color w:val="000000"/>
                <w:sz w:val="20"/>
                <w:szCs w:val="20"/>
              </w:rPr>
            </w:pPr>
            <w:r w:rsidRPr="00B21BB3">
              <w:rPr>
                <w:color w:val="000000"/>
                <w:sz w:val="20"/>
                <w:szCs w:val="20"/>
              </w:rPr>
              <w:t>1.</w:t>
            </w:r>
            <w:r w:rsidRPr="00B21BB3">
              <w:rPr>
                <w:color w:val="000000"/>
                <w:sz w:val="20"/>
                <w:szCs w:val="20"/>
              </w:rPr>
              <w:t>病情诊断证明书；</w:t>
            </w:r>
            <w:r w:rsidRPr="00B21BB3">
              <w:rPr>
                <w:color w:val="000000"/>
                <w:sz w:val="20"/>
                <w:szCs w:val="20"/>
              </w:rPr>
              <w:t>2.</w:t>
            </w:r>
            <w:r w:rsidRPr="00B21BB3">
              <w:rPr>
                <w:color w:val="000000"/>
                <w:sz w:val="20"/>
                <w:szCs w:val="20"/>
              </w:rPr>
              <w:t>血液及骨髓检查需符合慢性</w:t>
            </w:r>
            <w:proofErr w:type="gramStart"/>
            <w:r w:rsidRPr="00B21BB3">
              <w:rPr>
                <w:color w:val="000000"/>
                <w:sz w:val="20"/>
                <w:szCs w:val="20"/>
              </w:rPr>
              <w:t>髓</w:t>
            </w:r>
            <w:proofErr w:type="gramEnd"/>
            <w:r w:rsidRPr="00B21BB3">
              <w:rPr>
                <w:color w:val="000000"/>
                <w:sz w:val="20"/>
                <w:szCs w:val="20"/>
              </w:rPr>
              <w:t>细胞白血病的诊断标准（前三项为必需）：</w:t>
            </w:r>
            <w:r w:rsidRPr="00B21BB3">
              <w:rPr>
                <w:color w:val="000000"/>
                <w:sz w:val="20"/>
                <w:szCs w:val="20"/>
              </w:rPr>
              <w:t>1</w:t>
            </w:r>
            <w:r w:rsidRPr="00B21BB3">
              <w:rPr>
                <w:color w:val="000000"/>
                <w:sz w:val="20"/>
                <w:szCs w:val="20"/>
              </w:rPr>
              <w:t>）相关病史及临床表现；</w:t>
            </w:r>
            <w:r w:rsidRPr="00B21BB3">
              <w:rPr>
                <w:color w:val="000000"/>
                <w:sz w:val="20"/>
                <w:szCs w:val="20"/>
              </w:rPr>
              <w:t>2</w:t>
            </w:r>
            <w:r w:rsidRPr="00B21BB3">
              <w:rPr>
                <w:color w:val="000000"/>
                <w:sz w:val="20"/>
                <w:szCs w:val="20"/>
              </w:rPr>
              <w:t>）血常规；</w:t>
            </w:r>
            <w:r w:rsidRPr="00B21BB3">
              <w:rPr>
                <w:color w:val="000000"/>
                <w:sz w:val="20"/>
                <w:szCs w:val="20"/>
              </w:rPr>
              <w:t>3</w:t>
            </w:r>
            <w:r w:rsidRPr="00B21BB3">
              <w:rPr>
                <w:color w:val="000000"/>
                <w:sz w:val="20"/>
                <w:szCs w:val="20"/>
              </w:rPr>
              <w:t>）</w:t>
            </w:r>
            <w:r w:rsidRPr="00B21BB3">
              <w:rPr>
                <w:color w:val="000000"/>
                <w:sz w:val="20"/>
                <w:szCs w:val="20"/>
              </w:rPr>
              <w:t>BCR/ABL</w:t>
            </w:r>
            <w:r w:rsidRPr="00B21BB3">
              <w:rPr>
                <w:color w:val="000000"/>
                <w:sz w:val="20"/>
                <w:szCs w:val="20"/>
              </w:rPr>
              <w:t>融合基因检查阳性和（或）</w:t>
            </w:r>
            <w:r w:rsidRPr="00B21BB3">
              <w:rPr>
                <w:color w:val="000000"/>
                <w:sz w:val="20"/>
                <w:szCs w:val="20"/>
              </w:rPr>
              <w:t>Ph</w:t>
            </w:r>
            <w:r w:rsidRPr="00B21BB3">
              <w:rPr>
                <w:color w:val="000000"/>
                <w:sz w:val="20"/>
                <w:szCs w:val="20"/>
              </w:rPr>
              <w:t>染色体阳性</w:t>
            </w:r>
            <w:r w:rsidRPr="00B21BB3">
              <w:rPr>
                <w:rFonts w:hint="eastAsia"/>
                <w:color w:val="000000"/>
                <w:sz w:val="20"/>
                <w:szCs w:val="20"/>
              </w:rPr>
              <w:t>；</w:t>
            </w:r>
            <w:r w:rsidRPr="00B21BB3">
              <w:rPr>
                <w:rFonts w:hint="eastAsia"/>
                <w:color w:val="000000"/>
                <w:sz w:val="20"/>
                <w:szCs w:val="20"/>
              </w:rPr>
              <w:t>4</w:t>
            </w:r>
            <w:r w:rsidRPr="00B21BB3">
              <w:rPr>
                <w:rFonts w:hint="eastAsia"/>
                <w:color w:val="000000"/>
                <w:sz w:val="20"/>
                <w:szCs w:val="20"/>
              </w:rPr>
              <w:t>）骨髓涂片报告；</w:t>
            </w:r>
            <w:r w:rsidRPr="00B21BB3">
              <w:rPr>
                <w:color w:val="000000"/>
                <w:sz w:val="20"/>
                <w:szCs w:val="20"/>
              </w:rPr>
              <w:t>3.</w:t>
            </w:r>
            <w:r w:rsidRPr="00B21BB3">
              <w:rPr>
                <w:color w:val="000000"/>
                <w:sz w:val="20"/>
                <w:szCs w:val="20"/>
              </w:rPr>
              <w:t>对伊</w:t>
            </w:r>
            <w:proofErr w:type="gramStart"/>
            <w:r w:rsidRPr="00B21BB3">
              <w:rPr>
                <w:color w:val="000000"/>
                <w:sz w:val="20"/>
                <w:szCs w:val="20"/>
              </w:rPr>
              <w:t>马替尼</w:t>
            </w:r>
            <w:proofErr w:type="gramEnd"/>
            <w:r w:rsidRPr="00B21BB3">
              <w:rPr>
                <w:color w:val="000000"/>
                <w:sz w:val="20"/>
                <w:szCs w:val="20"/>
              </w:rPr>
              <w:t>耐药或</w:t>
            </w:r>
            <w:proofErr w:type="gramStart"/>
            <w:r w:rsidRPr="00B21BB3">
              <w:rPr>
                <w:color w:val="000000"/>
                <w:sz w:val="20"/>
                <w:szCs w:val="20"/>
              </w:rPr>
              <w:t>不</w:t>
            </w:r>
            <w:proofErr w:type="gramEnd"/>
            <w:r w:rsidRPr="00B21BB3">
              <w:rPr>
                <w:color w:val="000000"/>
                <w:sz w:val="20"/>
                <w:szCs w:val="20"/>
              </w:rPr>
              <w:t>耐受的病史资料（耐药资料：基因检测报告或者临床治疗观察点未达治疗目标或丧失治疗效果，</w:t>
            </w:r>
            <w:proofErr w:type="gramStart"/>
            <w:r w:rsidRPr="00B21BB3">
              <w:rPr>
                <w:color w:val="000000"/>
                <w:sz w:val="20"/>
                <w:szCs w:val="20"/>
              </w:rPr>
              <w:t>不</w:t>
            </w:r>
            <w:proofErr w:type="gramEnd"/>
            <w:r w:rsidRPr="00B21BB3">
              <w:rPr>
                <w:color w:val="000000"/>
                <w:sz w:val="20"/>
                <w:szCs w:val="20"/>
              </w:rPr>
              <w:t>耐受资料：检验报告或者病史体征，如血常规、心电图有异常，体征水肿、过敏等）。</w:t>
            </w:r>
          </w:p>
        </w:tc>
        <w:tc>
          <w:tcPr>
            <w:tcW w:w="1080" w:type="dxa"/>
            <w:tcBorders>
              <w:top w:val="nil"/>
              <w:left w:val="nil"/>
              <w:bottom w:val="single" w:sz="4" w:space="0" w:color="000000"/>
              <w:right w:val="single" w:sz="4" w:space="0" w:color="000000"/>
            </w:tcBorders>
            <w:vAlign w:val="center"/>
          </w:tcPr>
          <w:p w:rsidR="00945DCF" w:rsidRDefault="00945DCF" w:rsidP="0044611F">
            <w:pPr>
              <w:widowControl/>
              <w:jc w:val="center"/>
              <w:rPr>
                <w:kern w:val="0"/>
                <w:sz w:val="22"/>
              </w:rPr>
            </w:pPr>
            <w:r>
              <w:rPr>
                <w:kern w:val="0"/>
                <w:sz w:val="22"/>
              </w:rPr>
              <w:t>3</w:t>
            </w:r>
            <w:r>
              <w:rPr>
                <w:kern w:val="0"/>
                <w:sz w:val="22"/>
              </w:rPr>
              <w:t>个月</w:t>
            </w:r>
          </w:p>
        </w:tc>
      </w:tr>
      <w:tr w:rsidR="00945DCF" w:rsidTr="0044611F">
        <w:trPr>
          <w:trHeight w:val="1080"/>
          <w:jc w:val="center"/>
        </w:trPr>
        <w:tc>
          <w:tcPr>
            <w:tcW w:w="1240" w:type="dxa"/>
            <w:tcBorders>
              <w:top w:val="nil"/>
              <w:left w:val="single" w:sz="4" w:space="0" w:color="000000"/>
              <w:bottom w:val="single" w:sz="4" w:space="0" w:color="000000"/>
              <w:right w:val="single" w:sz="4" w:space="0" w:color="000000"/>
            </w:tcBorders>
            <w:vAlign w:val="center"/>
          </w:tcPr>
          <w:p w:rsidR="00945DCF" w:rsidRPr="00B21BB3" w:rsidRDefault="00945DCF" w:rsidP="0044611F">
            <w:pPr>
              <w:widowControl/>
              <w:jc w:val="left"/>
              <w:textAlignment w:val="center"/>
              <w:rPr>
                <w:color w:val="000000"/>
                <w:sz w:val="20"/>
                <w:szCs w:val="20"/>
              </w:rPr>
            </w:pPr>
            <w:proofErr w:type="gramStart"/>
            <w:r w:rsidRPr="00B21BB3">
              <w:rPr>
                <w:color w:val="000000"/>
                <w:sz w:val="20"/>
                <w:szCs w:val="20"/>
              </w:rPr>
              <w:t>吉非替尼</w:t>
            </w:r>
            <w:proofErr w:type="gramEnd"/>
          </w:p>
        </w:tc>
        <w:tc>
          <w:tcPr>
            <w:tcW w:w="1080" w:type="dxa"/>
            <w:tcBorders>
              <w:top w:val="nil"/>
              <w:left w:val="nil"/>
              <w:bottom w:val="single" w:sz="4" w:space="0" w:color="000000"/>
              <w:right w:val="single" w:sz="4" w:space="0" w:color="000000"/>
            </w:tcBorders>
            <w:vAlign w:val="center"/>
          </w:tcPr>
          <w:p w:rsidR="00945DCF" w:rsidRPr="00B21BB3" w:rsidRDefault="00945DCF" w:rsidP="0044611F">
            <w:pPr>
              <w:widowControl/>
              <w:jc w:val="left"/>
              <w:textAlignment w:val="center"/>
              <w:rPr>
                <w:color w:val="000000"/>
                <w:sz w:val="20"/>
                <w:szCs w:val="20"/>
              </w:rPr>
            </w:pPr>
            <w:r w:rsidRPr="00B21BB3">
              <w:rPr>
                <w:color w:val="000000"/>
                <w:sz w:val="20"/>
                <w:szCs w:val="20"/>
              </w:rPr>
              <w:t>口服常释剂型</w:t>
            </w:r>
          </w:p>
        </w:tc>
        <w:tc>
          <w:tcPr>
            <w:tcW w:w="1880" w:type="dxa"/>
            <w:tcBorders>
              <w:top w:val="nil"/>
              <w:left w:val="nil"/>
              <w:bottom w:val="single" w:sz="4" w:space="0" w:color="000000"/>
              <w:right w:val="single" w:sz="4" w:space="0" w:color="000000"/>
            </w:tcBorders>
            <w:vAlign w:val="center"/>
          </w:tcPr>
          <w:p w:rsidR="00945DCF" w:rsidRPr="00B21BB3" w:rsidRDefault="00945DCF" w:rsidP="0044611F">
            <w:pPr>
              <w:widowControl/>
              <w:jc w:val="left"/>
              <w:textAlignment w:val="center"/>
              <w:rPr>
                <w:color w:val="000000"/>
                <w:sz w:val="20"/>
                <w:szCs w:val="20"/>
              </w:rPr>
            </w:pPr>
            <w:r w:rsidRPr="00B21BB3">
              <w:rPr>
                <w:color w:val="000000"/>
                <w:sz w:val="20"/>
                <w:szCs w:val="20"/>
              </w:rPr>
              <w:t>限</w:t>
            </w:r>
            <w:r w:rsidRPr="00B21BB3">
              <w:rPr>
                <w:color w:val="000000"/>
                <w:sz w:val="20"/>
                <w:szCs w:val="20"/>
              </w:rPr>
              <w:t>EGFR</w:t>
            </w:r>
            <w:r w:rsidRPr="00B21BB3">
              <w:rPr>
                <w:color w:val="000000"/>
                <w:sz w:val="20"/>
                <w:szCs w:val="20"/>
              </w:rPr>
              <w:t>基因敏感突变的晚期非小细胞肺癌。</w:t>
            </w:r>
          </w:p>
        </w:tc>
        <w:tc>
          <w:tcPr>
            <w:tcW w:w="1620" w:type="dxa"/>
            <w:tcBorders>
              <w:top w:val="nil"/>
              <w:left w:val="nil"/>
              <w:bottom w:val="single" w:sz="4" w:space="0" w:color="000000"/>
              <w:right w:val="single" w:sz="4" w:space="0" w:color="000000"/>
            </w:tcBorders>
            <w:vAlign w:val="center"/>
          </w:tcPr>
          <w:p w:rsidR="00945DCF" w:rsidRPr="00B21BB3" w:rsidRDefault="00945DCF" w:rsidP="0044611F">
            <w:pPr>
              <w:widowControl/>
              <w:jc w:val="left"/>
              <w:textAlignment w:val="center"/>
              <w:rPr>
                <w:color w:val="000000"/>
                <w:sz w:val="20"/>
                <w:szCs w:val="20"/>
              </w:rPr>
            </w:pPr>
            <w:r w:rsidRPr="00B21BB3">
              <w:rPr>
                <w:color w:val="000000"/>
                <w:sz w:val="20"/>
                <w:szCs w:val="20"/>
              </w:rPr>
              <w:t>非小细胞肺癌</w:t>
            </w:r>
          </w:p>
        </w:tc>
        <w:tc>
          <w:tcPr>
            <w:tcW w:w="2860" w:type="dxa"/>
            <w:tcBorders>
              <w:top w:val="nil"/>
              <w:left w:val="nil"/>
              <w:bottom w:val="single" w:sz="4" w:space="0" w:color="000000"/>
              <w:right w:val="single" w:sz="4" w:space="0" w:color="000000"/>
            </w:tcBorders>
            <w:vAlign w:val="center"/>
          </w:tcPr>
          <w:p w:rsidR="00945DCF" w:rsidRPr="00B21BB3" w:rsidRDefault="00945DCF" w:rsidP="0044611F">
            <w:pPr>
              <w:widowControl/>
              <w:jc w:val="left"/>
              <w:textAlignment w:val="center"/>
              <w:rPr>
                <w:color w:val="000000"/>
                <w:sz w:val="20"/>
                <w:szCs w:val="20"/>
              </w:rPr>
            </w:pPr>
            <w:r w:rsidRPr="00B21BB3">
              <w:rPr>
                <w:color w:val="000000"/>
                <w:sz w:val="20"/>
                <w:szCs w:val="20"/>
              </w:rPr>
              <w:t>1.</w:t>
            </w:r>
            <w:r w:rsidRPr="00B21BB3">
              <w:rPr>
                <w:color w:val="000000"/>
                <w:sz w:val="20"/>
                <w:szCs w:val="20"/>
              </w:rPr>
              <w:t>病理学诊断符合非小细胞肺癌；</w:t>
            </w:r>
            <w:r w:rsidRPr="00B21BB3">
              <w:rPr>
                <w:color w:val="000000"/>
                <w:sz w:val="20"/>
                <w:szCs w:val="20"/>
              </w:rPr>
              <w:t>2.EGFR</w:t>
            </w:r>
            <w:r w:rsidRPr="00B21BB3">
              <w:rPr>
                <w:color w:val="000000"/>
                <w:sz w:val="20"/>
                <w:szCs w:val="20"/>
              </w:rPr>
              <w:t>基因检测敏感突变；</w:t>
            </w:r>
            <w:r w:rsidRPr="00B21BB3">
              <w:rPr>
                <w:color w:val="000000"/>
                <w:sz w:val="20"/>
                <w:szCs w:val="20"/>
              </w:rPr>
              <w:t>3.</w:t>
            </w:r>
            <w:r w:rsidRPr="00B21BB3">
              <w:rPr>
                <w:color w:val="000000"/>
                <w:sz w:val="20"/>
                <w:szCs w:val="20"/>
              </w:rPr>
              <w:t>晚期（</w:t>
            </w:r>
            <w:proofErr w:type="spellStart"/>
            <w:r w:rsidRPr="00B21BB3">
              <w:rPr>
                <w:color w:val="000000"/>
                <w:sz w:val="20"/>
                <w:szCs w:val="20"/>
              </w:rPr>
              <w:t>Ⅲb</w:t>
            </w:r>
            <w:proofErr w:type="spellEnd"/>
            <w:r w:rsidRPr="00B21BB3">
              <w:rPr>
                <w:color w:val="000000"/>
                <w:sz w:val="20"/>
                <w:szCs w:val="20"/>
              </w:rPr>
              <w:t>-Ⅳ</w:t>
            </w:r>
            <w:r w:rsidRPr="00B21BB3">
              <w:rPr>
                <w:color w:val="000000"/>
                <w:sz w:val="20"/>
                <w:szCs w:val="20"/>
              </w:rPr>
              <w:t>期）。</w:t>
            </w:r>
          </w:p>
        </w:tc>
        <w:tc>
          <w:tcPr>
            <w:tcW w:w="4040" w:type="dxa"/>
            <w:tcBorders>
              <w:top w:val="nil"/>
              <w:left w:val="nil"/>
              <w:bottom w:val="single" w:sz="4" w:space="0" w:color="000000"/>
              <w:right w:val="single" w:sz="4" w:space="0" w:color="000000"/>
            </w:tcBorders>
            <w:vAlign w:val="center"/>
          </w:tcPr>
          <w:p w:rsidR="00945DCF" w:rsidRPr="00B21BB3" w:rsidRDefault="00945DCF" w:rsidP="0044611F">
            <w:pPr>
              <w:widowControl/>
              <w:jc w:val="left"/>
              <w:textAlignment w:val="center"/>
              <w:rPr>
                <w:color w:val="000000"/>
                <w:sz w:val="20"/>
                <w:szCs w:val="20"/>
              </w:rPr>
            </w:pPr>
            <w:r w:rsidRPr="00B21BB3">
              <w:rPr>
                <w:color w:val="000000"/>
                <w:sz w:val="20"/>
                <w:szCs w:val="20"/>
              </w:rPr>
              <w:t>1.</w:t>
            </w:r>
            <w:r w:rsidRPr="00B21BB3">
              <w:rPr>
                <w:color w:val="000000"/>
                <w:sz w:val="20"/>
                <w:szCs w:val="20"/>
              </w:rPr>
              <w:t>病情诊断证明书；</w:t>
            </w:r>
            <w:r w:rsidRPr="00B21BB3">
              <w:rPr>
                <w:color w:val="000000"/>
                <w:sz w:val="20"/>
                <w:szCs w:val="20"/>
              </w:rPr>
              <w:t>2.</w:t>
            </w:r>
            <w:r w:rsidRPr="00B21BB3">
              <w:rPr>
                <w:color w:val="000000"/>
                <w:sz w:val="20"/>
                <w:szCs w:val="20"/>
              </w:rPr>
              <w:t>病理学检查；</w:t>
            </w:r>
            <w:r w:rsidRPr="00B21BB3">
              <w:rPr>
                <w:color w:val="000000"/>
                <w:sz w:val="20"/>
                <w:szCs w:val="20"/>
              </w:rPr>
              <w:t>3.EGFR</w:t>
            </w:r>
            <w:r w:rsidRPr="00B21BB3">
              <w:rPr>
                <w:color w:val="000000"/>
                <w:sz w:val="20"/>
                <w:szCs w:val="20"/>
              </w:rPr>
              <w:t>基因检测敏感突变；</w:t>
            </w:r>
            <w:r w:rsidRPr="00B21BB3">
              <w:rPr>
                <w:color w:val="000000"/>
                <w:sz w:val="20"/>
                <w:szCs w:val="20"/>
              </w:rPr>
              <w:t>4.</w:t>
            </w:r>
            <w:r w:rsidRPr="00B21BB3">
              <w:rPr>
                <w:color w:val="000000"/>
                <w:sz w:val="20"/>
                <w:szCs w:val="20"/>
              </w:rPr>
              <w:t>影像学检查报告。</w:t>
            </w:r>
          </w:p>
        </w:tc>
        <w:tc>
          <w:tcPr>
            <w:tcW w:w="1080" w:type="dxa"/>
            <w:tcBorders>
              <w:top w:val="nil"/>
              <w:left w:val="nil"/>
              <w:bottom w:val="single" w:sz="4" w:space="0" w:color="000000"/>
              <w:right w:val="single" w:sz="4" w:space="0" w:color="000000"/>
            </w:tcBorders>
            <w:vAlign w:val="center"/>
          </w:tcPr>
          <w:p w:rsidR="00945DCF" w:rsidRDefault="00945DCF" w:rsidP="0044611F">
            <w:pPr>
              <w:widowControl/>
              <w:jc w:val="center"/>
              <w:rPr>
                <w:kern w:val="0"/>
                <w:sz w:val="22"/>
              </w:rPr>
            </w:pPr>
            <w:r>
              <w:rPr>
                <w:kern w:val="0"/>
                <w:sz w:val="22"/>
              </w:rPr>
              <w:t>6-8</w:t>
            </w:r>
            <w:r>
              <w:rPr>
                <w:kern w:val="0"/>
                <w:sz w:val="22"/>
              </w:rPr>
              <w:t>周</w:t>
            </w:r>
          </w:p>
        </w:tc>
      </w:tr>
      <w:tr w:rsidR="00945DCF" w:rsidTr="0044611F">
        <w:trPr>
          <w:trHeight w:val="1785"/>
          <w:jc w:val="center"/>
        </w:trPr>
        <w:tc>
          <w:tcPr>
            <w:tcW w:w="1240" w:type="dxa"/>
            <w:vMerge w:val="restart"/>
            <w:tcBorders>
              <w:top w:val="single" w:sz="4" w:space="0" w:color="auto"/>
              <w:left w:val="single" w:sz="4" w:space="0" w:color="000000"/>
              <w:bottom w:val="single" w:sz="4" w:space="0" w:color="000000"/>
              <w:right w:val="single" w:sz="4" w:space="0" w:color="000000"/>
            </w:tcBorders>
            <w:vAlign w:val="center"/>
          </w:tcPr>
          <w:p w:rsidR="00945DCF" w:rsidRPr="00B21BB3" w:rsidRDefault="00945DCF" w:rsidP="0044611F">
            <w:pPr>
              <w:widowControl/>
              <w:jc w:val="left"/>
              <w:textAlignment w:val="center"/>
              <w:rPr>
                <w:color w:val="000000"/>
                <w:sz w:val="20"/>
                <w:szCs w:val="20"/>
              </w:rPr>
            </w:pPr>
            <w:r w:rsidRPr="00B21BB3">
              <w:rPr>
                <w:color w:val="000000"/>
                <w:sz w:val="20"/>
                <w:szCs w:val="20"/>
              </w:rPr>
              <w:lastRenderedPageBreak/>
              <w:t>伊</w:t>
            </w:r>
            <w:proofErr w:type="gramStart"/>
            <w:r w:rsidRPr="00B21BB3">
              <w:rPr>
                <w:color w:val="000000"/>
                <w:sz w:val="20"/>
                <w:szCs w:val="20"/>
              </w:rPr>
              <w:t>马替尼</w:t>
            </w:r>
            <w:proofErr w:type="gramEnd"/>
          </w:p>
        </w:tc>
        <w:tc>
          <w:tcPr>
            <w:tcW w:w="1080" w:type="dxa"/>
            <w:vMerge w:val="restart"/>
            <w:tcBorders>
              <w:top w:val="single" w:sz="4" w:space="0" w:color="auto"/>
              <w:left w:val="single" w:sz="4" w:space="0" w:color="000000"/>
              <w:bottom w:val="single" w:sz="4" w:space="0" w:color="000000"/>
              <w:right w:val="single" w:sz="4" w:space="0" w:color="000000"/>
            </w:tcBorders>
            <w:vAlign w:val="center"/>
          </w:tcPr>
          <w:p w:rsidR="00945DCF" w:rsidRPr="00B21BB3" w:rsidRDefault="00945DCF" w:rsidP="0044611F">
            <w:pPr>
              <w:widowControl/>
              <w:jc w:val="left"/>
              <w:textAlignment w:val="center"/>
              <w:rPr>
                <w:color w:val="000000"/>
                <w:sz w:val="20"/>
                <w:szCs w:val="20"/>
              </w:rPr>
            </w:pPr>
            <w:r w:rsidRPr="00B21BB3">
              <w:rPr>
                <w:color w:val="000000"/>
                <w:sz w:val="20"/>
                <w:szCs w:val="20"/>
              </w:rPr>
              <w:t>口服常释剂型</w:t>
            </w:r>
          </w:p>
        </w:tc>
        <w:tc>
          <w:tcPr>
            <w:tcW w:w="1880" w:type="dxa"/>
            <w:vMerge w:val="restart"/>
            <w:tcBorders>
              <w:top w:val="single" w:sz="4" w:space="0" w:color="auto"/>
              <w:left w:val="single" w:sz="4" w:space="0" w:color="000000"/>
              <w:bottom w:val="single" w:sz="4" w:space="0" w:color="000000"/>
              <w:right w:val="single" w:sz="4" w:space="0" w:color="000000"/>
            </w:tcBorders>
            <w:vAlign w:val="center"/>
          </w:tcPr>
          <w:p w:rsidR="00945DCF" w:rsidRPr="00B21BB3" w:rsidRDefault="00945DCF" w:rsidP="0044611F">
            <w:pPr>
              <w:widowControl/>
              <w:jc w:val="left"/>
              <w:textAlignment w:val="center"/>
              <w:rPr>
                <w:color w:val="000000"/>
                <w:sz w:val="20"/>
                <w:szCs w:val="20"/>
              </w:rPr>
            </w:pPr>
            <w:r w:rsidRPr="00B21BB3">
              <w:rPr>
                <w:color w:val="000000"/>
                <w:sz w:val="20"/>
                <w:szCs w:val="20"/>
              </w:rPr>
              <w:t>限有慢性</w:t>
            </w:r>
            <w:proofErr w:type="gramStart"/>
            <w:r w:rsidRPr="00B21BB3">
              <w:rPr>
                <w:color w:val="000000"/>
                <w:sz w:val="20"/>
                <w:szCs w:val="20"/>
              </w:rPr>
              <w:t>髓</w:t>
            </w:r>
            <w:proofErr w:type="gramEnd"/>
            <w:r w:rsidRPr="00B21BB3">
              <w:rPr>
                <w:color w:val="000000"/>
                <w:sz w:val="20"/>
                <w:szCs w:val="20"/>
              </w:rPr>
              <w:t>细胞白血病诊断并有费城染色体阳性的检验证据，胃肠间质瘤</w:t>
            </w:r>
          </w:p>
        </w:tc>
        <w:tc>
          <w:tcPr>
            <w:tcW w:w="1620" w:type="dxa"/>
            <w:tcBorders>
              <w:top w:val="single" w:sz="4" w:space="0" w:color="auto"/>
              <w:left w:val="nil"/>
              <w:bottom w:val="single" w:sz="4" w:space="0" w:color="000000"/>
              <w:right w:val="single" w:sz="4" w:space="0" w:color="000000"/>
            </w:tcBorders>
            <w:vAlign w:val="center"/>
          </w:tcPr>
          <w:p w:rsidR="00945DCF" w:rsidRPr="00B21BB3" w:rsidRDefault="00945DCF" w:rsidP="0044611F">
            <w:pPr>
              <w:widowControl/>
              <w:jc w:val="left"/>
              <w:textAlignment w:val="center"/>
              <w:rPr>
                <w:color w:val="000000"/>
                <w:sz w:val="20"/>
                <w:szCs w:val="20"/>
              </w:rPr>
            </w:pPr>
            <w:r w:rsidRPr="00B21BB3">
              <w:rPr>
                <w:color w:val="000000"/>
                <w:sz w:val="20"/>
                <w:szCs w:val="20"/>
              </w:rPr>
              <w:t>慢性</w:t>
            </w:r>
            <w:proofErr w:type="gramStart"/>
            <w:r w:rsidRPr="00B21BB3">
              <w:rPr>
                <w:color w:val="000000"/>
                <w:sz w:val="20"/>
                <w:szCs w:val="20"/>
              </w:rPr>
              <w:t>髓</w:t>
            </w:r>
            <w:proofErr w:type="gramEnd"/>
            <w:r w:rsidRPr="00B21BB3">
              <w:rPr>
                <w:color w:val="000000"/>
                <w:sz w:val="20"/>
                <w:szCs w:val="20"/>
              </w:rPr>
              <w:t>细胞</w:t>
            </w:r>
          </w:p>
          <w:p w:rsidR="00945DCF" w:rsidRPr="00B21BB3" w:rsidRDefault="00945DCF" w:rsidP="0044611F">
            <w:pPr>
              <w:widowControl/>
              <w:jc w:val="left"/>
              <w:textAlignment w:val="center"/>
              <w:rPr>
                <w:color w:val="000000"/>
                <w:sz w:val="20"/>
                <w:szCs w:val="20"/>
              </w:rPr>
            </w:pPr>
            <w:r w:rsidRPr="00B21BB3">
              <w:rPr>
                <w:color w:val="000000"/>
                <w:sz w:val="20"/>
                <w:szCs w:val="20"/>
              </w:rPr>
              <w:t>白血病</w:t>
            </w:r>
          </w:p>
        </w:tc>
        <w:tc>
          <w:tcPr>
            <w:tcW w:w="2860" w:type="dxa"/>
            <w:tcBorders>
              <w:top w:val="single" w:sz="4" w:space="0" w:color="auto"/>
              <w:left w:val="nil"/>
              <w:bottom w:val="single" w:sz="4" w:space="0" w:color="000000"/>
              <w:right w:val="single" w:sz="4" w:space="0" w:color="000000"/>
            </w:tcBorders>
            <w:vAlign w:val="center"/>
          </w:tcPr>
          <w:p w:rsidR="00945DCF" w:rsidRPr="00B21BB3" w:rsidRDefault="00945DCF" w:rsidP="0044611F">
            <w:pPr>
              <w:widowControl/>
              <w:jc w:val="left"/>
              <w:textAlignment w:val="center"/>
              <w:rPr>
                <w:color w:val="000000"/>
                <w:sz w:val="20"/>
                <w:szCs w:val="20"/>
              </w:rPr>
            </w:pPr>
            <w:r w:rsidRPr="00B21BB3">
              <w:rPr>
                <w:color w:val="000000"/>
                <w:sz w:val="20"/>
                <w:szCs w:val="20"/>
              </w:rPr>
              <w:t>1.</w:t>
            </w:r>
            <w:r w:rsidRPr="00B21BB3">
              <w:rPr>
                <w:color w:val="000000"/>
                <w:sz w:val="20"/>
                <w:szCs w:val="20"/>
              </w:rPr>
              <w:t>血液及骨髓检查符合慢性</w:t>
            </w:r>
            <w:proofErr w:type="gramStart"/>
            <w:r w:rsidRPr="00B21BB3">
              <w:rPr>
                <w:color w:val="000000"/>
                <w:sz w:val="20"/>
                <w:szCs w:val="20"/>
              </w:rPr>
              <w:t>髓</w:t>
            </w:r>
            <w:proofErr w:type="gramEnd"/>
            <w:r w:rsidRPr="00B21BB3">
              <w:rPr>
                <w:color w:val="000000"/>
                <w:sz w:val="20"/>
                <w:szCs w:val="20"/>
              </w:rPr>
              <w:t>细胞白血病；</w:t>
            </w:r>
            <w:r w:rsidRPr="00B21BB3">
              <w:rPr>
                <w:color w:val="000000"/>
                <w:sz w:val="20"/>
                <w:szCs w:val="20"/>
              </w:rPr>
              <w:t>2.</w:t>
            </w:r>
            <w:r w:rsidRPr="00B21BB3">
              <w:rPr>
                <w:color w:val="000000"/>
                <w:sz w:val="20"/>
                <w:szCs w:val="20"/>
              </w:rPr>
              <w:t>费城染色体阳性表达。</w:t>
            </w:r>
          </w:p>
        </w:tc>
        <w:tc>
          <w:tcPr>
            <w:tcW w:w="4040" w:type="dxa"/>
            <w:tcBorders>
              <w:top w:val="single" w:sz="4" w:space="0" w:color="auto"/>
              <w:left w:val="nil"/>
              <w:bottom w:val="single" w:sz="4" w:space="0" w:color="000000"/>
              <w:right w:val="single" w:sz="4" w:space="0" w:color="000000"/>
            </w:tcBorders>
            <w:vAlign w:val="center"/>
          </w:tcPr>
          <w:p w:rsidR="00945DCF" w:rsidRPr="00B21BB3" w:rsidRDefault="00945DCF" w:rsidP="0044611F">
            <w:pPr>
              <w:widowControl/>
              <w:jc w:val="left"/>
              <w:textAlignment w:val="center"/>
              <w:rPr>
                <w:color w:val="000000"/>
                <w:sz w:val="20"/>
                <w:szCs w:val="20"/>
              </w:rPr>
            </w:pPr>
            <w:r w:rsidRPr="00B21BB3">
              <w:rPr>
                <w:color w:val="000000"/>
                <w:sz w:val="20"/>
                <w:szCs w:val="20"/>
              </w:rPr>
              <w:t>1.</w:t>
            </w:r>
            <w:r w:rsidRPr="00B21BB3">
              <w:rPr>
                <w:color w:val="000000"/>
                <w:sz w:val="20"/>
                <w:szCs w:val="20"/>
              </w:rPr>
              <w:t>病情诊断证明书；</w:t>
            </w:r>
            <w:r w:rsidRPr="00B21BB3">
              <w:rPr>
                <w:color w:val="000000"/>
                <w:sz w:val="20"/>
                <w:szCs w:val="20"/>
              </w:rPr>
              <w:t>2.</w:t>
            </w:r>
            <w:r w:rsidRPr="00B21BB3">
              <w:rPr>
                <w:color w:val="000000"/>
                <w:sz w:val="20"/>
                <w:szCs w:val="20"/>
              </w:rPr>
              <w:t>血液及骨髓检查需符合慢性</w:t>
            </w:r>
            <w:proofErr w:type="gramStart"/>
            <w:r w:rsidRPr="00B21BB3">
              <w:rPr>
                <w:color w:val="000000"/>
                <w:sz w:val="20"/>
                <w:szCs w:val="20"/>
              </w:rPr>
              <w:t>髓</w:t>
            </w:r>
            <w:proofErr w:type="gramEnd"/>
            <w:r w:rsidRPr="00B21BB3">
              <w:rPr>
                <w:color w:val="000000"/>
                <w:sz w:val="20"/>
                <w:szCs w:val="20"/>
              </w:rPr>
              <w:t>细胞白血病的诊断标准（前三项为必需）：</w:t>
            </w:r>
            <w:r w:rsidRPr="00B21BB3">
              <w:rPr>
                <w:color w:val="000000"/>
                <w:sz w:val="20"/>
                <w:szCs w:val="20"/>
              </w:rPr>
              <w:t>1</w:t>
            </w:r>
            <w:r w:rsidRPr="00B21BB3">
              <w:rPr>
                <w:color w:val="000000"/>
                <w:sz w:val="20"/>
                <w:szCs w:val="20"/>
              </w:rPr>
              <w:t>）相关病史及临床表现；</w:t>
            </w:r>
            <w:r w:rsidRPr="00B21BB3">
              <w:rPr>
                <w:color w:val="000000"/>
                <w:sz w:val="20"/>
                <w:szCs w:val="20"/>
              </w:rPr>
              <w:t>2</w:t>
            </w:r>
            <w:r w:rsidRPr="00B21BB3">
              <w:rPr>
                <w:color w:val="000000"/>
                <w:sz w:val="20"/>
                <w:szCs w:val="20"/>
              </w:rPr>
              <w:t>）血常规；</w:t>
            </w:r>
            <w:r w:rsidRPr="00B21BB3">
              <w:rPr>
                <w:color w:val="000000"/>
                <w:sz w:val="20"/>
                <w:szCs w:val="20"/>
              </w:rPr>
              <w:t>3</w:t>
            </w:r>
            <w:r w:rsidRPr="00B21BB3">
              <w:rPr>
                <w:color w:val="000000"/>
                <w:sz w:val="20"/>
                <w:szCs w:val="20"/>
              </w:rPr>
              <w:t>）</w:t>
            </w:r>
            <w:r w:rsidRPr="00B21BB3">
              <w:rPr>
                <w:color w:val="000000"/>
                <w:sz w:val="20"/>
                <w:szCs w:val="20"/>
              </w:rPr>
              <w:t>Ph</w:t>
            </w:r>
            <w:r w:rsidRPr="00B21BB3">
              <w:rPr>
                <w:color w:val="000000"/>
                <w:sz w:val="20"/>
                <w:szCs w:val="20"/>
              </w:rPr>
              <w:t>染色体阳性和（或）</w:t>
            </w:r>
            <w:r w:rsidRPr="00B21BB3">
              <w:rPr>
                <w:color w:val="000000"/>
                <w:sz w:val="20"/>
                <w:szCs w:val="20"/>
              </w:rPr>
              <w:t>BCR/ABL</w:t>
            </w:r>
            <w:r w:rsidRPr="00B21BB3">
              <w:rPr>
                <w:color w:val="000000"/>
                <w:sz w:val="20"/>
                <w:szCs w:val="20"/>
              </w:rPr>
              <w:t>融合基因检查阳性；</w:t>
            </w:r>
            <w:r w:rsidRPr="00B21BB3">
              <w:rPr>
                <w:color w:val="000000"/>
                <w:sz w:val="20"/>
                <w:szCs w:val="20"/>
              </w:rPr>
              <w:t>4</w:t>
            </w:r>
            <w:r w:rsidRPr="00B21BB3">
              <w:rPr>
                <w:color w:val="000000"/>
                <w:sz w:val="20"/>
                <w:szCs w:val="20"/>
              </w:rPr>
              <w:t>）骨髓涂片报告。</w:t>
            </w:r>
          </w:p>
        </w:tc>
        <w:tc>
          <w:tcPr>
            <w:tcW w:w="1080" w:type="dxa"/>
            <w:tcBorders>
              <w:top w:val="single" w:sz="4" w:space="0" w:color="auto"/>
              <w:left w:val="nil"/>
              <w:bottom w:val="single" w:sz="4" w:space="0" w:color="000000"/>
              <w:right w:val="single" w:sz="4" w:space="0" w:color="000000"/>
            </w:tcBorders>
            <w:vAlign w:val="center"/>
          </w:tcPr>
          <w:p w:rsidR="00945DCF" w:rsidRPr="00B21BB3" w:rsidRDefault="00945DCF" w:rsidP="0044611F">
            <w:pPr>
              <w:widowControl/>
              <w:jc w:val="left"/>
              <w:textAlignment w:val="center"/>
              <w:rPr>
                <w:color w:val="000000"/>
                <w:sz w:val="20"/>
                <w:szCs w:val="20"/>
              </w:rPr>
            </w:pPr>
            <w:r w:rsidRPr="00B21BB3">
              <w:rPr>
                <w:color w:val="000000"/>
                <w:sz w:val="20"/>
                <w:szCs w:val="20"/>
              </w:rPr>
              <w:t>3</w:t>
            </w:r>
            <w:r w:rsidRPr="00B21BB3">
              <w:rPr>
                <w:color w:val="000000"/>
                <w:sz w:val="20"/>
                <w:szCs w:val="20"/>
              </w:rPr>
              <w:t>个月</w:t>
            </w:r>
          </w:p>
        </w:tc>
      </w:tr>
      <w:tr w:rsidR="00945DCF" w:rsidTr="0044611F">
        <w:trPr>
          <w:trHeight w:val="750"/>
          <w:jc w:val="center"/>
        </w:trPr>
        <w:tc>
          <w:tcPr>
            <w:tcW w:w="1240" w:type="dxa"/>
            <w:vMerge/>
            <w:tcBorders>
              <w:top w:val="nil"/>
              <w:left w:val="single" w:sz="4" w:space="0" w:color="000000"/>
              <w:bottom w:val="single" w:sz="4" w:space="0" w:color="000000"/>
              <w:right w:val="single" w:sz="4" w:space="0" w:color="000000"/>
            </w:tcBorders>
            <w:vAlign w:val="center"/>
          </w:tcPr>
          <w:p w:rsidR="00945DCF" w:rsidRPr="00B21BB3" w:rsidRDefault="00945DCF" w:rsidP="0044611F">
            <w:pPr>
              <w:widowControl/>
              <w:jc w:val="left"/>
              <w:textAlignment w:val="center"/>
              <w:rPr>
                <w:color w:val="000000"/>
                <w:sz w:val="20"/>
                <w:szCs w:val="20"/>
              </w:rPr>
            </w:pPr>
          </w:p>
        </w:tc>
        <w:tc>
          <w:tcPr>
            <w:tcW w:w="1080" w:type="dxa"/>
            <w:vMerge/>
            <w:tcBorders>
              <w:top w:val="nil"/>
              <w:left w:val="single" w:sz="4" w:space="0" w:color="000000"/>
              <w:bottom w:val="single" w:sz="4" w:space="0" w:color="000000"/>
              <w:right w:val="single" w:sz="4" w:space="0" w:color="000000"/>
            </w:tcBorders>
            <w:vAlign w:val="center"/>
          </w:tcPr>
          <w:p w:rsidR="00945DCF" w:rsidRPr="00B21BB3" w:rsidRDefault="00945DCF" w:rsidP="0044611F">
            <w:pPr>
              <w:widowControl/>
              <w:jc w:val="left"/>
              <w:textAlignment w:val="center"/>
              <w:rPr>
                <w:color w:val="000000"/>
                <w:sz w:val="20"/>
                <w:szCs w:val="20"/>
              </w:rPr>
            </w:pPr>
          </w:p>
        </w:tc>
        <w:tc>
          <w:tcPr>
            <w:tcW w:w="1880" w:type="dxa"/>
            <w:vMerge/>
            <w:tcBorders>
              <w:top w:val="nil"/>
              <w:left w:val="single" w:sz="4" w:space="0" w:color="000000"/>
              <w:bottom w:val="single" w:sz="4" w:space="0" w:color="000000"/>
              <w:right w:val="single" w:sz="4" w:space="0" w:color="000000"/>
            </w:tcBorders>
            <w:vAlign w:val="center"/>
          </w:tcPr>
          <w:p w:rsidR="00945DCF" w:rsidRPr="00B21BB3" w:rsidRDefault="00945DCF" w:rsidP="0044611F">
            <w:pPr>
              <w:widowControl/>
              <w:jc w:val="left"/>
              <w:textAlignment w:val="center"/>
              <w:rPr>
                <w:color w:val="000000"/>
                <w:sz w:val="20"/>
                <w:szCs w:val="20"/>
              </w:rPr>
            </w:pPr>
          </w:p>
        </w:tc>
        <w:tc>
          <w:tcPr>
            <w:tcW w:w="1620" w:type="dxa"/>
            <w:tcBorders>
              <w:top w:val="nil"/>
              <w:left w:val="nil"/>
              <w:bottom w:val="single" w:sz="4" w:space="0" w:color="000000"/>
              <w:right w:val="single" w:sz="4" w:space="0" w:color="000000"/>
            </w:tcBorders>
            <w:vAlign w:val="center"/>
          </w:tcPr>
          <w:p w:rsidR="00945DCF" w:rsidRPr="00B21BB3" w:rsidRDefault="00945DCF" w:rsidP="0044611F">
            <w:pPr>
              <w:widowControl/>
              <w:jc w:val="center"/>
              <w:textAlignment w:val="center"/>
              <w:rPr>
                <w:color w:val="000000"/>
                <w:sz w:val="20"/>
                <w:szCs w:val="20"/>
              </w:rPr>
            </w:pPr>
            <w:r w:rsidRPr="00B21BB3">
              <w:rPr>
                <w:color w:val="000000"/>
                <w:sz w:val="20"/>
                <w:szCs w:val="20"/>
              </w:rPr>
              <w:t>胃肠间质瘤</w:t>
            </w:r>
          </w:p>
        </w:tc>
        <w:tc>
          <w:tcPr>
            <w:tcW w:w="2860" w:type="dxa"/>
            <w:tcBorders>
              <w:top w:val="nil"/>
              <w:left w:val="nil"/>
              <w:bottom w:val="single" w:sz="4" w:space="0" w:color="000000"/>
              <w:right w:val="single" w:sz="4" w:space="0" w:color="000000"/>
            </w:tcBorders>
            <w:vAlign w:val="center"/>
          </w:tcPr>
          <w:p w:rsidR="00945DCF" w:rsidRPr="00B21BB3" w:rsidRDefault="00945DCF" w:rsidP="0044611F">
            <w:pPr>
              <w:widowControl/>
              <w:jc w:val="left"/>
              <w:textAlignment w:val="center"/>
              <w:rPr>
                <w:color w:val="000000"/>
                <w:sz w:val="20"/>
                <w:szCs w:val="20"/>
              </w:rPr>
            </w:pPr>
            <w:r w:rsidRPr="00B21BB3">
              <w:rPr>
                <w:color w:val="000000"/>
                <w:sz w:val="20"/>
                <w:szCs w:val="20"/>
              </w:rPr>
              <w:t>病理学诊断符合胃肠间质瘤</w:t>
            </w:r>
          </w:p>
        </w:tc>
        <w:tc>
          <w:tcPr>
            <w:tcW w:w="4040" w:type="dxa"/>
            <w:tcBorders>
              <w:top w:val="nil"/>
              <w:left w:val="nil"/>
              <w:bottom w:val="single" w:sz="4" w:space="0" w:color="000000"/>
              <w:right w:val="single" w:sz="4" w:space="0" w:color="000000"/>
            </w:tcBorders>
            <w:vAlign w:val="center"/>
          </w:tcPr>
          <w:p w:rsidR="00945DCF" w:rsidRPr="00B21BB3" w:rsidRDefault="00945DCF" w:rsidP="0044611F">
            <w:pPr>
              <w:widowControl/>
              <w:jc w:val="left"/>
              <w:textAlignment w:val="center"/>
              <w:rPr>
                <w:color w:val="000000"/>
                <w:sz w:val="20"/>
                <w:szCs w:val="20"/>
              </w:rPr>
            </w:pPr>
            <w:r w:rsidRPr="00B21BB3">
              <w:rPr>
                <w:color w:val="000000"/>
                <w:sz w:val="20"/>
                <w:szCs w:val="20"/>
              </w:rPr>
              <w:t>1.</w:t>
            </w:r>
            <w:r w:rsidRPr="00B21BB3">
              <w:rPr>
                <w:color w:val="000000"/>
                <w:sz w:val="20"/>
                <w:szCs w:val="20"/>
              </w:rPr>
              <w:t>病情诊断证明书；</w:t>
            </w:r>
            <w:r w:rsidRPr="00B21BB3">
              <w:rPr>
                <w:color w:val="000000"/>
                <w:sz w:val="20"/>
                <w:szCs w:val="20"/>
              </w:rPr>
              <w:t>2.</w:t>
            </w:r>
            <w:r w:rsidRPr="00B21BB3">
              <w:rPr>
                <w:color w:val="000000"/>
                <w:sz w:val="20"/>
                <w:szCs w:val="20"/>
              </w:rPr>
              <w:t>病理学检查。</w:t>
            </w:r>
          </w:p>
        </w:tc>
        <w:tc>
          <w:tcPr>
            <w:tcW w:w="1080" w:type="dxa"/>
            <w:tcBorders>
              <w:top w:val="nil"/>
              <w:left w:val="nil"/>
              <w:bottom w:val="single" w:sz="4" w:space="0" w:color="000000"/>
              <w:right w:val="single" w:sz="4" w:space="0" w:color="000000"/>
            </w:tcBorders>
            <w:vAlign w:val="center"/>
          </w:tcPr>
          <w:p w:rsidR="00945DCF" w:rsidRPr="00B21BB3" w:rsidRDefault="00945DCF" w:rsidP="0044611F">
            <w:pPr>
              <w:widowControl/>
              <w:jc w:val="left"/>
              <w:textAlignment w:val="center"/>
              <w:rPr>
                <w:color w:val="000000"/>
                <w:sz w:val="20"/>
                <w:szCs w:val="20"/>
              </w:rPr>
            </w:pPr>
            <w:r w:rsidRPr="00B21BB3">
              <w:rPr>
                <w:color w:val="000000"/>
                <w:sz w:val="20"/>
                <w:szCs w:val="20"/>
              </w:rPr>
              <w:t>3</w:t>
            </w:r>
            <w:r w:rsidRPr="00B21BB3">
              <w:rPr>
                <w:color w:val="000000"/>
                <w:sz w:val="20"/>
                <w:szCs w:val="20"/>
              </w:rPr>
              <w:t>个月</w:t>
            </w:r>
          </w:p>
        </w:tc>
      </w:tr>
      <w:tr w:rsidR="00945DCF" w:rsidTr="0044611F">
        <w:trPr>
          <w:trHeight w:val="1080"/>
          <w:jc w:val="center"/>
        </w:trPr>
        <w:tc>
          <w:tcPr>
            <w:tcW w:w="1240" w:type="dxa"/>
            <w:vMerge w:val="restart"/>
            <w:tcBorders>
              <w:top w:val="nil"/>
              <w:left w:val="single" w:sz="4" w:space="0" w:color="000000"/>
              <w:bottom w:val="single" w:sz="4" w:space="0" w:color="000000"/>
              <w:right w:val="single" w:sz="4" w:space="0" w:color="000000"/>
            </w:tcBorders>
            <w:vAlign w:val="center"/>
          </w:tcPr>
          <w:p w:rsidR="00945DCF" w:rsidRPr="00B21BB3" w:rsidRDefault="00945DCF" w:rsidP="0044611F">
            <w:pPr>
              <w:widowControl/>
              <w:jc w:val="left"/>
              <w:textAlignment w:val="center"/>
              <w:rPr>
                <w:color w:val="000000"/>
                <w:sz w:val="20"/>
                <w:szCs w:val="20"/>
              </w:rPr>
            </w:pPr>
            <w:r w:rsidRPr="00B21BB3">
              <w:rPr>
                <w:color w:val="000000"/>
                <w:sz w:val="20"/>
                <w:szCs w:val="20"/>
              </w:rPr>
              <w:t>培</w:t>
            </w:r>
            <w:proofErr w:type="gramStart"/>
            <w:r w:rsidRPr="00B21BB3">
              <w:rPr>
                <w:color w:val="000000"/>
                <w:sz w:val="20"/>
                <w:szCs w:val="20"/>
              </w:rPr>
              <w:t>美曲塞</w:t>
            </w:r>
            <w:proofErr w:type="gramEnd"/>
          </w:p>
        </w:tc>
        <w:tc>
          <w:tcPr>
            <w:tcW w:w="1080" w:type="dxa"/>
            <w:vMerge w:val="restart"/>
            <w:tcBorders>
              <w:top w:val="nil"/>
              <w:left w:val="single" w:sz="4" w:space="0" w:color="000000"/>
              <w:bottom w:val="single" w:sz="4" w:space="0" w:color="000000"/>
              <w:right w:val="single" w:sz="4" w:space="0" w:color="000000"/>
            </w:tcBorders>
            <w:vAlign w:val="center"/>
          </w:tcPr>
          <w:p w:rsidR="00945DCF" w:rsidRPr="00B21BB3" w:rsidRDefault="00945DCF" w:rsidP="0044611F">
            <w:pPr>
              <w:widowControl/>
              <w:jc w:val="left"/>
              <w:textAlignment w:val="center"/>
              <w:rPr>
                <w:color w:val="000000"/>
                <w:sz w:val="20"/>
                <w:szCs w:val="20"/>
              </w:rPr>
            </w:pPr>
            <w:r w:rsidRPr="00B21BB3">
              <w:rPr>
                <w:color w:val="000000"/>
                <w:sz w:val="20"/>
                <w:szCs w:val="20"/>
              </w:rPr>
              <w:t>注射剂</w:t>
            </w:r>
          </w:p>
        </w:tc>
        <w:tc>
          <w:tcPr>
            <w:tcW w:w="1880" w:type="dxa"/>
            <w:vMerge w:val="restart"/>
            <w:tcBorders>
              <w:top w:val="nil"/>
              <w:left w:val="single" w:sz="4" w:space="0" w:color="000000"/>
              <w:bottom w:val="single" w:sz="4" w:space="0" w:color="000000"/>
              <w:right w:val="single" w:sz="4" w:space="0" w:color="000000"/>
            </w:tcBorders>
            <w:vAlign w:val="center"/>
          </w:tcPr>
          <w:p w:rsidR="00945DCF" w:rsidRPr="00B21BB3" w:rsidRDefault="00945DCF" w:rsidP="0044611F">
            <w:pPr>
              <w:widowControl/>
              <w:jc w:val="left"/>
              <w:textAlignment w:val="center"/>
              <w:rPr>
                <w:color w:val="000000"/>
                <w:sz w:val="20"/>
                <w:szCs w:val="20"/>
              </w:rPr>
            </w:pPr>
            <w:r w:rsidRPr="00B21BB3">
              <w:rPr>
                <w:color w:val="000000"/>
                <w:sz w:val="20"/>
                <w:szCs w:val="20"/>
              </w:rPr>
              <w:t>限局部晚期或转移性非鳞状细胞型非小细胞肺癌；恶性胸膜间皮瘤</w:t>
            </w:r>
          </w:p>
        </w:tc>
        <w:tc>
          <w:tcPr>
            <w:tcW w:w="1620" w:type="dxa"/>
            <w:tcBorders>
              <w:top w:val="nil"/>
              <w:left w:val="nil"/>
              <w:bottom w:val="single" w:sz="4" w:space="0" w:color="000000"/>
              <w:right w:val="single" w:sz="4" w:space="0" w:color="000000"/>
            </w:tcBorders>
            <w:vAlign w:val="center"/>
          </w:tcPr>
          <w:p w:rsidR="00945DCF" w:rsidRPr="00B21BB3" w:rsidRDefault="00945DCF" w:rsidP="0044611F">
            <w:pPr>
              <w:widowControl/>
              <w:jc w:val="left"/>
              <w:textAlignment w:val="center"/>
              <w:rPr>
                <w:color w:val="000000"/>
                <w:sz w:val="20"/>
                <w:szCs w:val="20"/>
              </w:rPr>
            </w:pPr>
            <w:r w:rsidRPr="00B21BB3">
              <w:rPr>
                <w:color w:val="000000"/>
                <w:sz w:val="20"/>
                <w:szCs w:val="20"/>
              </w:rPr>
              <w:t>非</w:t>
            </w:r>
            <w:proofErr w:type="gramStart"/>
            <w:r w:rsidRPr="00B21BB3">
              <w:rPr>
                <w:color w:val="000000"/>
                <w:sz w:val="20"/>
                <w:szCs w:val="20"/>
              </w:rPr>
              <w:t>鳞状非</w:t>
            </w:r>
            <w:proofErr w:type="gramEnd"/>
            <w:r w:rsidRPr="00B21BB3">
              <w:rPr>
                <w:color w:val="000000"/>
                <w:sz w:val="20"/>
                <w:szCs w:val="20"/>
              </w:rPr>
              <w:t>小细胞肺癌</w:t>
            </w:r>
          </w:p>
        </w:tc>
        <w:tc>
          <w:tcPr>
            <w:tcW w:w="2860" w:type="dxa"/>
            <w:tcBorders>
              <w:top w:val="nil"/>
              <w:left w:val="nil"/>
              <w:bottom w:val="single" w:sz="4" w:space="0" w:color="000000"/>
              <w:right w:val="single" w:sz="4" w:space="0" w:color="000000"/>
            </w:tcBorders>
            <w:vAlign w:val="center"/>
          </w:tcPr>
          <w:p w:rsidR="00945DCF" w:rsidRPr="00B21BB3" w:rsidRDefault="00945DCF" w:rsidP="0044611F">
            <w:pPr>
              <w:widowControl/>
              <w:jc w:val="left"/>
              <w:textAlignment w:val="center"/>
              <w:rPr>
                <w:color w:val="000000"/>
                <w:sz w:val="20"/>
                <w:szCs w:val="20"/>
              </w:rPr>
            </w:pPr>
            <w:r w:rsidRPr="00B21BB3">
              <w:rPr>
                <w:color w:val="000000"/>
                <w:sz w:val="20"/>
                <w:szCs w:val="20"/>
              </w:rPr>
              <w:t>1.</w:t>
            </w:r>
            <w:r w:rsidRPr="00B21BB3">
              <w:rPr>
                <w:color w:val="000000"/>
                <w:sz w:val="20"/>
                <w:szCs w:val="20"/>
              </w:rPr>
              <w:t>病理学诊断符合非</w:t>
            </w:r>
            <w:proofErr w:type="gramStart"/>
            <w:r w:rsidRPr="00B21BB3">
              <w:rPr>
                <w:color w:val="000000"/>
                <w:sz w:val="20"/>
                <w:szCs w:val="20"/>
              </w:rPr>
              <w:t>鳞状非</w:t>
            </w:r>
            <w:proofErr w:type="gramEnd"/>
            <w:r w:rsidRPr="00B21BB3">
              <w:rPr>
                <w:color w:val="000000"/>
                <w:sz w:val="20"/>
                <w:szCs w:val="20"/>
              </w:rPr>
              <w:t>小细胞肺癌；</w:t>
            </w:r>
            <w:r w:rsidRPr="00B21BB3">
              <w:rPr>
                <w:color w:val="000000"/>
                <w:sz w:val="20"/>
                <w:szCs w:val="20"/>
              </w:rPr>
              <w:t>2.</w:t>
            </w:r>
            <w:r w:rsidRPr="00B21BB3">
              <w:rPr>
                <w:color w:val="000000"/>
                <w:sz w:val="20"/>
                <w:szCs w:val="20"/>
              </w:rPr>
              <w:t>局部晚期或转移（无法手术的</w:t>
            </w:r>
            <w:proofErr w:type="spellStart"/>
            <w:r w:rsidRPr="00B21BB3">
              <w:rPr>
                <w:color w:val="000000"/>
                <w:sz w:val="20"/>
                <w:szCs w:val="20"/>
              </w:rPr>
              <w:t>Ⅲa</w:t>
            </w:r>
            <w:proofErr w:type="spellEnd"/>
            <w:r w:rsidRPr="00B21BB3">
              <w:rPr>
                <w:color w:val="000000"/>
                <w:sz w:val="20"/>
                <w:szCs w:val="20"/>
              </w:rPr>
              <w:t>期或</w:t>
            </w:r>
            <w:proofErr w:type="spellStart"/>
            <w:r w:rsidRPr="00B21BB3">
              <w:rPr>
                <w:color w:val="000000"/>
                <w:sz w:val="20"/>
                <w:szCs w:val="20"/>
              </w:rPr>
              <w:t>Ⅲb</w:t>
            </w:r>
            <w:proofErr w:type="spellEnd"/>
            <w:r w:rsidRPr="00B21BB3">
              <w:rPr>
                <w:color w:val="000000"/>
                <w:sz w:val="20"/>
                <w:szCs w:val="20"/>
              </w:rPr>
              <w:t>-Ⅳ</w:t>
            </w:r>
            <w:r w:rsidRPr="00B21BB3">
              <w:rPr>
                <w:color w:val="000000"/>
                <w:sz w:val="20"/>
                <w:szCs w:val="20"/>
              </w:rPr>
              <w:t>期）。</w:t>
            </w:r>
          </w:p>
        </w:tc>
        <w:tc>
          <w:tcPr>
            <w:tcW w:w="4040" w:type="dxa"/>
            <w:tcBorders>
              <w:top w:val="nil"/>
              <w:left w:val="nil"/>
              <w:bottom w:val="single" w:sz="4" w:space="0" w:color="000000"/>
              <w:right w:val="single" w:sz="4" w:space="0" w:color="000000"/>
            </w:tcBorders>
            <w:vAlign w:val="center"/>
          </w:tcPr>
          <w:p w:rsidR="00945DCF" w:rsidRPr="00B21BB3" w:rsidRDefault="00945DCF" w:rsidP="0044611F">
            <w:pPr>
              <w:widowControl/>
              <w:jc w:val="left"/>
              <w:textAlignment w:val="center"/>
              <w:rPr>
                <w:color w:val="000000"/>
                <w:sz w:val="20"/>
                <w:szCs w:val="20"/>
              </w:rPr>
            </w:pPr>
            <w:r w:rsidRPr="00B21BB3">
              <w:rPr>
                <w:color w:val="000000"/>
                <w:sz w:val="20"/>
                <w:szCs w:val="20"/>
              </w:rPr>
              <w:t>1.</w:t>
            </w:r>
            <w:r w:rsidRPr="00B21BB3">
              <w:rPr>
                <w:color w:val="000000"/>
                <w:sz w:val="20"/>
                <w:szCs w:val="20"/>
              </w:rPr>
              <w:t>病情诊断证明书；</w:t>
            </w:r>
            <w:r w:rsidRPr="00B21BB3">
              <w:rPr>
                <w:color w:val="000000"/>
                <w:sz w:val="20"/>
                <w:szCs w:val="20"/>
              </w:rPr>
              <w:t>2.</w:t>
            </w:r>
            <w:r w:rsidRPr="00B21BB3">
              <w:rPr>
                <w:color w:val="000000"/>
                <w:sz w:val="20"/>
                <w:szCs w:val="20"/>
              </w:rPr>
              <w:t>病理学检查；</w:t>
            </w:r>
            <w:r w:rsidRPr="00B21BB3">
              <w:rPr>
                <w:color w:val="000000"/>
                <w:sz w:val="20"/>
                <w:szCs w:val="20"/>
              </w:rPr>
              <w:t>3.</w:t>
            </w:r>
            <w:r w:rsidRPr="00B21BB3">
              <w:rPr>
                <w:color w:val="000000"/>
                <w:sz w:val="20"/>
                <w:szCs w:val="20"/>
              </w:rPr>
              <w:t>影像学检查报告；</w:t>
            </w:r>
            <w:r w:rsidRPr="00B21BB3">
              <w:rPr>
                <w:rFonts w:hint="eastAsia"/>
                <w:color w:val="000000"/>
                <w:sz w:val="20"/>
                <w:szCs w:val="20"/>
              </w:rPr>
              <w:t>4.</w:t>
            </w:r>
            <w:r w:rsidRPr="00B21BB3">
              <w:rPr>
                <w:rFonts w:hint="eastAsia"/>
                <w:color w:val="000000"/>
                <w:sz w:val="20"/>
                <w:szCs w:val="20"/>
              </w:rPr>
              <w:t>不能手术的Ⅲ</w:t>
            </w:r>
            <w:r w:rsidRPr="00B21BB3">
              <w:rPr>
                <w:rFonts w:hint="eastAsia"/>
                <w:color w:val="000000"/>
                <w:sz w:val="20"/>
                <w:szCs w:val="20"/>
              </w:rPr>
              <w:t>a</w:t>
            </w:r>
            <w:r w:rsidRPr="00B21BB3">
              <w:rPr>
                <w:rFonts w:hint="eastAsia"/>
                <w:color w:val="000000"/>
                <w:sz w:val="20"/>
                <w:szCs w:val="20"/>
              </w:rPr>
              <w:t>期：需提供不能手术的病史资料。</w:t>
            </w:r>
          </w:p>
        </w:tc>
        <w:tc>
          <w:tcPr>
            <w:tcW w:w="1080" w:type="dxa"/>
            <w:vMerge w:val="restart"/>
            <w:tcBorders>
              <w:top w:val="nil"/>
              <w:left w:val="single" w:sz="4" w:space="0" w:color="000000"/>
              <w:bottom w:val="single" w:sz="4" w:space="0" w:color="000000"/>
              <w:right w:val="single" w:sz="4" w:space="0" w:color="000000"/>
            </w:tcBorders>
            <w:vAlign w:val="center"/>
          </w:tcPr>
          <w:p w:rsidR="00945DCF" w:rsidRPr="00B21BB3" w:rsidRDefault="00945DCF" w:rsidP="0044611F">
            <w:pPr>
              <w:widowControl/>
              <w:jc w:val="left"/>
              <w:textAlignment w:val="center"/>
              <w:rPr>
                <w:color w:val="000000"/>
                <w:sz w:val="20"/>
                <w:szCs w:val="20"/>
              </w:rPr>
            </w:pPr>
            <w:r w:rsidRPr="00B21BB3">
              <w:rPr>
                <w:color w:val="000000"/>
                <w:sz w:val="20"/>
                <w:szCs w:val="20"/>
              </w:rPr>
              <w:t>一个治疗周期</w:t>
            </w:r>
            <w:r w:rsidRPr="00B21BB3">
              <w:rPr>
                <w:color w:val="000000"/>
                <w:sz w:val="20"/>
                <w:szCs w:val="20"/>
              </w:rPr>
              <w:t>21</w:t>
            </w:r>
            <w:r w:rsidRPr="00B21BB3">
              <w:rPr>
                <w:color w:val="000000"/>
                <w:sz w:val="20"/>
                <w:szCs w:val="20"/>
              </w:rPr>
              <w:t>天，每</w:t>
            </w:r>
            <w:r w:rsidRPr="00B21BB3">
              <w:rPr>
                <w:color w:val="000000"/>
                <w:sz w:val="20"/>
                <w:szCs w:val="20"/>
              </w:rPr>
              <w:t>6-8</w:t>
            </w:r>
            <w:r w:rsidRPr="00B21BB3">
              <w:rPr>
                <w:color w:val="000000"/>
                <w:sz w:val="20"/>
                <w:szCs w:val="20"/>
              </w:rPr>
              <w:t>周评价一次</w:t>
            </w:r>
          </w:p>
        </w:tc>
      </w:tr>
      <w:tr w:rsidR="00945DCF" w:rsidTr="0044611F">
        <w:trPr>
          <w:trHeight w:val="570"/>
          <w:jc w:val="center"/>
        </w:trPr>
        <w:tc>
          <w:tcPr>
            <w:tcW w:w="1240" w:type="dxa"/>
            <w:vMerge/>
            <w:tcBorders>
              <w:top w:val="nil"/>
              <w:left w:val="single" w:sz="4" w:space="0" w:color="000000"/>
              <w:bottom w:val="single" w:sz="4" w:space="0" w:color="000000"/>
              <w:right w:val="single" w:sz="4" w:space="0" w:color="000000"/>
            </w:tcBorders>
            <w:vAlign w:val="center"/>
          </w:tcPr>
          <w:p w:rsidR="00945DCF" w:rsidRPr="00B21BB3" w:rsidRDefault="00945DCF" w:rsidP="0044611F">
            <w:pPr>
              <w:widowControl/>
              <w:jc w:val="left"/>
              <w:textAlignment w:val="center"/>
              <w:rPr>
                <w:color w:val="000000"/>
                <w:sz w:val="20"/>
                <w:szCs w:val="20"/>
              </w:rPr>
            </w:pPr>
          </w:p>
        </w:tc>
        <w:tc>
          <w:tcPr>
            <w:tcW w:w="1080" w:type="dxa"/>
            <w:vMerge/>
            <w:tcBorders>
              <w:top w:val="nil"/>
              <w:left w:val="single" w:sz="4" w:space="0" w:color="000000"/>
              <w:bottom w:val="single" w:sz="4" w:space="0" w:color="000000"/>
              <w:right w:val="single" w:sz="4" w:space="0" w:color="000000"/>
            </w:tcBorders>
            <w:vAlign w:val="center"/>
          </w:tcPr>
          <w:p w:rsidR="00945DCF" w:rsidRPr="00B21BB3" w:rsidRDefault="00945DCF" w:rsidP="0044611F">
            <w:pPr>
              <w:widowControl/>
              <w:jc w:val="left"/>
              <w:textAlignment w:val="center"/>
              <w:rPr>
                <w:color w:val="000000"/>
                <w:sz w:val="20"/>
                <w:szCs w:val="20"/>
              </w:rPr>
            </w:pPr>
          </w:p>
        </w:tc>
        <w:tc>
          <w:tcPr>
            <w:tcW w:w="1880" w:type="dxa"/>
            <w:vMerge/>
            <w:tcBorders>
              <w:top w:val="nil"/>
              <w:left w:val="single" w:sz="4" w:space="0" w:color="000000"/>
              <w:bottom w:val="single" w:sz="4" w:space="0" w:color="000000"/>
              <w:right w:val="single" w:sz="4" w:space="0" w:color="000000"/>
            </w:tcBorders>
            <w:vAlign w:val="center"/>
          </w:tcPr>
          <w:p w:rsidR="00945DCF" w:rsidRPr="00B21BB3" w:rsidRDefault="00945DCF" w:rsidP="0044611F">
            <w:pPr>
              <w:widowControl/>
              <w:jc w:val="left"/>
              <w:textAlignment w:val="center"/>
              <w:rPr>
                <w:color w:val="000000"/>
                <w:sz w:val="20"/>
                <w:szCs w:val="20"/>
              </w:rPr>
            </w:pPr>
          </w:p>
        </w:tc>
        <w:tc>
          <w:tcPr>
            <w:tcW w:w="1620" w:type="dxa"/>
            <w:tcBorders>
              <w:top w:val="nil"/>
              <w:left w:val="nil"/>
              <w:bottom w:val="single" w:sz="4" w:space="0" w:color="000000"/>
              <w:right w:val="single" w:sz="4" w:space="0" w:color="000000"/>
            </w:tcBorders>
            <w:vAlign w:val="center"/>
          </w:tcPr>
          <w:p w:rsidR="00945DCF" w:rsidRPr="00B21BB3" w:rsidRDefault="00945DCF" w:rsidP="0044611F">
            <w:pPr>
              <w:widowControl/>
              <w:jc w:val="center"/>
              <w:textAlignment w:val="center"/>
              <w:rPr>
                <w:color w:val="000000"/>
                <w:sz w:val="20"/>
                <w:szCs w:val="20"/>
              </w:rPr>
            </w:pPr>
            <w:r w:rsidRPr="00B21BB3">
              <w:rPr>
                <w:color w:val="000000"/>
                <w:sz w:val="20"/>
                <w:szCs w:val="20"/>
              </w:rPr>
              <w:t>恶性胸膜间</w:t>
            </w:r>
          </w:p>
          <w:p w:rsidR="00945DCF" w:rsidRPr="00B21BB3" w:rsidRDefault="00945DCF" w:rsidP="0044611F">
            <w:pPr>
              <w:widowControl/>
              <w:jc w:val="center"/>
              <w:textAlignment w:val="center"/>
              <w:rPr>
                <w:color w:val="000000"/>
                <w:sz w:val="20"/>
                <w:szCs w:val="20"/>
              </w:rPr>
            </w:pPr>
            <w:r w:rsidRPr="00B21BB3">
              <w:rPr>
                <w:color w:val="000000"/>
                <w:sz w:val="20"/>
                <w:szCs w:val="20"/>
              </w:rPr>
              <w:t>皮瘤</w:t>
            </w:r>
          </w:p>
        </w:tc>
        <w:tc>
          <w:tcPr>
            <w:tcW w:w="2860" w:type="dxa"/>
            <w:tcBorders>
              <w:top w:val="nil"/>
              <w:left w:val="nil"/>
              <w:bottom w:val="single" w:sz="4" w:space="0" w:color="000000"/>
              <w:right w:val="single" w:sz="4" w:space="0" w:color="000000"/>
            </w:tcBorders>
            <w:vAlign w:val="center"/>
          </w:tcPr>
          <w:p w:rsidR="00945DCF" w:rsidRPr="00B21BB3" w:rsidRDefault="00945DCF" w:rsidP="0044611F">
            <w:pPr>
              <w:widowControl/>
              <w:jc w:val="left"/>
              <w:textAlignment w:val="center"/>
              <w:rPr>
                <w:color w:val="000000"/>
                <w:sz w:val="20"/>
                <w:szCs w:val="20"/>
              </w:rPr>
            </w:pPr>
            <w:r w:rsidRPr="00B21BB3">
              <w:rPr>
                <w:color w:val="000000"/>
                <w:sz w:val="20"/>
                <w:szCs w:val="20"/>
              </w:rPr>
              <w:t>病理学诊断符合恶性胸膜间皮瘤</w:t>
            </w:r>
          </w:p>
        </w:tc>
        <w:tc>
          <w:tcPr>
            <w:tcW w:w="4040" w:type="dxa"/>
            <w:tcBorders>
              <w:top w:val="nil"/>
              <w:left w:val="nil"/>
              <w:bottom w:val="single" w:sz="4" w:space="0" w:color="000000"/>
              <w:right w:val="single" w:sz="4" w:space="0" w:color="000000"/>
            </w:tcBorders>
            <w:vAlign w:val="center"/>
          </w:tcPr>
          <w:p w:rsidR="00945DCF" w:rsidRPr="00B21BB3" w:rsidRDefault="00945DCF" w:rsidP="0044611F">
            <w:pPr>
              <w:widowControl/>
              <w:jc w:val="left"/>
              <w:textAlignment w:val="center"/>
              <w:rPr>
                <w:color w:val="000000"/>
                <w:sz w:val="20"/>
                <w:szCs w:val="20"/>
              </w:rPr>
            </w:pPr>
            <w:r w:rsidRPr="00B21BB3">
              <w:rPr>
                <w:color w:val="000000"/>
                <w:sz w:val="20"/>
                <w:szCs w:val="20"/>
              </w:rPr>
              <w:t>1.</w:t>
            </w:r>
            <w:r w:rsidRPr="00B21BB3">
              <w:rPr>
                <w:color w:val="000000"/>
                <w:sz w:val="20"/>
                <w:szCs w:val="20"/>
              </w:rPr>
              <w:t>病情诊断证明书；</w:t>
            </w:r>
            <w:r w:rsidRPr="00B21BB3">
              <w:rPr>
                <w:color w:val="000000"/>
                <w:sz w:val="20"/>
                <w:szCs w:val="20"/>
              </w:rPr>
              <w:t>2.</w:t>
            </w:r>
            <w:r w:rsidRPr="00B21BB3">
              <w:rPr>
                <w:color w:val="000000"/>
                <w:sz w:val="20"/>
                <w:szCs w:val="20"/>
              </w:rPr>
              <w:t>病理学检查；</w:t>
            </w:r>
            <w:r w:rsidRPr="00B21BB3">
              <w:rPr>
                <w:color w:val="000000"/>
                <w:sz w:val="20"/>
                <w:szCs w:val="20"/>
              </w:rPr>
              <w:t>3.</w:t>
            </w:r>
            <w:r w:rsidRPr="00B21BB3">
              <w:rPr>
                <w:color w:val="000000"/>
                <w:sz w:val="20"/>
                <w:szCs w:val="20"/>
              </w:rPr>
              <w:t>影像学检查报告。</w:t>
            </w:r>
          </w:p>
        </w:tc>
        <w:tc>
          <w:tcPr>
            <w:tcW w:w="1080" w:type="dxa"/>
            <w:vMerge/>
            <w:tcBorders>
              <w:top w:val="nil"/>
              <w:left w:val="single" w:sz="4" w:space="0" w:color="000000"/>
              <w:bottom w:val="single" w:sz="4" w:space="0" w:color="000000"/>
              <w:right w:val="single" w:sz="4" w:space="0" w:color="000000"/>
            </w:tcBorders>
            <w:vAlign w:val="center"/>
          </w:tcPr>
          <w:p w:rsidR="00945DCF" w:rsidRPr="00B21BB3" w:rsidRDefault="00945DCF" w:rsidP="0044611F">
            <w:pPr>
              <w:widowControl/>
              <w:jc w:val="left"/>
              <w:textAlignment w:val="center"/>
              <w:rPr>
                <w:color w:val="000000"/>
                <w:sz w:val="20"/>
                <w:szCs w:val="20"/>
              </w:rPr>
            </w:pPr>
          </w:p>
        </w:tc>
      </w:tr>
      <w:tr w:rsidR="00945DCF" w:rsidTr="0044611F">
        <w:trPr>
          <w:trHeight w:val="1425"/>
          <w:jc w:val="center"/>
        </w:trPr>
        <w:tc>
          <w:tcPr>
            <w:tcW w:w="1240" w:type="dxa"/>
            <w:tcBorders>
              <w:top w:val="nil"/>
              <w:left w:val="single" w:sz="4" w:space="0" w:color="000000"/>
              <w:bottom w:val="single" w:sz="4" w:space="0" w:color="000000"/>
              <w:right w:val="single" w:sz="4" w:space="0" w:color="000000"/>
            </w:tcBorders>
            <w:vAlign w:val="center"/>
          </w:tcPr>
          <w:p w:rsidR="00945DCF" w:rsidRPr="00B21BB3" w:rsidRDefault="00945DCF" w:rsidP="0044611F">
            <w:pPr>
              <w:widowControl/>
              <w:jc w:val="left"/>
              <w:textAlignment w:val="center"/>
              <w:rPr>
                <w:color w:val="000000"/>
                <w:sz w:val="20"/>
                <w:szCs w:val="20"/>
              </w:rPr>
            </w:pPr>
            <w:r w:rsidRPr="00B21BB3">
              <w:rPr>
                <w:color w:val="000000"/>
                <w:sz w:val="20"/>
                <w:szCs w:val="20"/>
              </w:rPr>
              <w:t>地</w:t>
            </w:r>
            <w:proofErr w:type="gramStart"/>
            <w:r w:rsidRPr="00B21BB3">
              <w:rPr>
                <w:color w:val="000000"/>
                <w:sz w:val="20"/>
                <w:szCs w:val="20"/>
              </w:rPr>
              <w:t>西他滨</w:t>
            </w:r>
            <w:proofErr w:type="gramEnd"/>
          </w:p>
        </w:tc>
        <w:tc>
          <w:tcPr>
            <w:tcW w:w="1080" w:type="dxa"/>
            <w:tcBorders>
              <w:top w:val="nil"/>
              <w:left w:val="nil"/>
              <w:bottom w:val="single" w:sz="4" w:space="0" w:color="000000"/>
              <w:right w:val="single" w:sz="4" w:space="0" w:color="000000"/>
            </w:tcBorders>
            <w:vAlign w:val="center"/>
          </w:tcPr>
          <w:p w:rsidR="00945DCF" w:rsidRPr="00B21BB3" w:rsidRDefault="00945DCF" w:rsidP="0044611F">
            <w:pPr>
              <w:widowControl/>
              <w:jc w:val="left"/>
              <w:textAlignment w:val="center"/>
              <w:rPr>
                <w:color w:val="000000"/>
                <w:sz w:val="20"/>
                <w:szCs w:val="20"/>
              </w:rPr>
            </w:pPr>
            <w:r w:rsidRPr="00B21BB3">
              <w:rPr>
                <w:color w:val="000000"/>
                <w:sz w:val="20"/>
                <w:szCs w:val="20"/>
              </w:rPr>
              <w:t>注射剂</w:t>
            </w:r>
          </w:p>
        </w:tc>
        <w:tc>
          <w:tcPr>
            <w:tcW w:w="1880" w:type="dxa"/>
            <w:tcBorders>
              <w:top w:val="nil"/>
              <w:left w:val="nil"/>
              <w:bottom w:val="single" w:sz="4" w:space="0" w:color="000000"/>
              <w:right w:val="single" w:sz="4" w:space="0" w:color="000000"/>
            </w:tcBorders>
            <w:vAlign w:val="center"/>
          </w:tcPr>
          <w:p w:rsidR="00945DCF" w:rsidRPr="00B21BB3" w:rsidRDefault="00945DCF" w:rsidP="0044611F">
            <w:pPr>
              <w:widowControl/>
              <w:jc w:val="left"/>
              <w:textAlignment w:val="center"/>
              <w:rPr>
                <w:color w:val="000000"/>
                <w:sz w:val="20"/>
                <w:szCs w:val="20"/>
              </w:rPr>
            </w:pPr>
            <w:r w:rsidRPr="00B21BB3">
              <w:rPr>
                <w:color w:val="000000"/>
                <w:sz w:val="20"/>
                <w:szCs w:val="20"/>
              </w:rPr>
              <w:t>限高危的骨髓增生异常综合征患者</w:t>
            </w:r>
          </w:p>
        </w:tc>
        <w:tc>
          <w:tcPr>
            <w:tcW w:w="1620" w:type="dxa"/>
            <w:tcBorders>
              <w:top w:val="nil"/>
              <w:left w:val="nil"/>
              <w:bottom w:val="single" w:sz="4" w:space="0" w:color="000000"/>
              <w:right w:val="single" w:sz="4" w:space="0" w:color="000000"/>
            </w:tcBorders>
            <w:vAlign w:val="center"/>
          </w:tcPr>
          <w:p w:rsidR="00945DCF" w:rsidRPr="00B21BB3" w:rsidRDefault="00945DCF" w:rsidP="0044611F">
            <w:pPr>
              <w:widowControl/>
              <w:jc w:val="left"/>
              <w:textAlignment w:val="center"/>
              <w:rPr>
                <w:color w:val="000000"/>
                <w:sz w:val="20"/>
                <w:szCs w:val="20"/>
              </w:rPr>
            </w:pPr>
            <w:r w:rsidRPr="00B21BB3">
              <w:rPr>
                <w:color w:val="000000"/>
                <w:sz w:val="20"/>
                <w:szCs w:val="20"/>
              </w:rPr>
              <w:t>骨髓增生异常综合征</w:t>
            </w:r>
          </w:p>
        </w:tc>
        <w:tc>
          <w:tcPr>
            <w:tcW w:w="2860" w:type="dxa"/>
            <w:tcBorders>
              <w:top w:val="nil"/>
              <w:left w:val="nil"/>
              <w:bottom w:val="single" w:sz="4" w:space="0" w:color="000000"/>
              <w:right w:val="single" w:sz="4" w:space="0" w:color="000000"/>
            </w:tcBorders>
            <w:vAlign w:val="center"/>
          </w:tcPr>
          <w:p w:rsidR="00945DCF" w:rsidRPr="00B21BB3" w:rsidRDefault="00945DCF" w:rsidP="0044611F">
            <w:pPr>
              <w:widowControl/>
              <w:jc w:val="left"/>
              <w:textAlignment w:val="center"/>
              <w:rPr>
                <w:color w:val="000000"/>
                <w:sz w:val="20"/>
                <w:szCs w:val="20"/>
              </w:rPr>
            </w:pPr>
            <w:r w:rsidRPr="00B21BB3">
              <w:rPr>
                <w:color w:val="000000"/>
                <w:sz w:val="20"/>
                <w:szCs w:val="20"/>
              </w:rPr>
              <w:t>1.</w:t>
            </w:r>
            <w:r w:rsidRPr="00B21BB3">
              <w:rPr>
                <w:color w:val="000000"/>
                <w:sz w:val="20"/>
                <w:szCs w:val="20"/>
              </w:rPr>
              <w:t>血液及骨髓检查符合骨髓增生异常综合征；</w:t>
            </w:r>
            <w:r w:rsidRPr="00B21BB3">
              <w:rPr>
                <w:color w:val="000000"/>
                <w:sz w:val="20"/>
                <w:szCs w:val="20"/>
              </w:rPr>
              <w:t>2.</w:t>
            </w:r>
            <w:r w:rsidRPr="00B21BB3">
              <w:rPr>
                <w:color w:val="000000"/>
                <w:sz w:val="20"/>
                <w:szCs w:val="20"/>
              </w:rPr>
              <w:t>高危。</w:t>
            </w:r>
          </w:p>
        </w:tc>
        <w:tc>
          <w:tcPr>
            <w:tcW w:w="4040" w:type="dxa"/>
            <w:tcBorders>
              <w:top w:val="nil"/>
              <w:left w:val="nil"/>
              <w:bottom w:val="single" w:sz="4" w:space="0" w:color="000000"/>
              <w:right w:val="single" w:sz="4" w:space="0" w:color="000000"/>
            </w:tcBorders>
            <w:vAlign w:val="center"/>
          </w:tcPr>
          <w:p w:rsidR="00945DCF" w:rsidRPr="00B21BB3" w:rsidRDefault="00945DCF" w:rsidP="0044611F">
            <w:pPr>
              <w:widowControl/>
              <w:jc w:val="left"/>
              <w:textAlignment w:val="center"/>
              <w:rPr>
                <w:color w:val="000000"/>
                <w:sz w:val="20"/>
                <w:szCs w:val="20"/>
              </w:rPr>
            </w:pPr>
            <w:r w:rsidRPr="00B21BB3">
              <w:rPr>
                <w:color w:val="000000"/>
                <w:sz w:val="20"/>
                <w:szCs w:val="20"/>
              </w:rPr>
              <w:t>1.</w:t>
            </w:r>
            <w:r w:rsidRPr="00B21BB3">
              <w:rPr>
                <w:color w:val="000000"/>
                <w:sz w:val="20"/>
                <w:szCs w:val="20"/>
              </w:rPr>
              <w:t>病情诊断证明书；</w:t>
            </w:r>
            <w:r w:rsidRPr="00B21BB3">
              <w:rPr>
                <w:color w:val="000000"/>
                <w:sz w:val="20"/>
                <w:szCs w:val="20"/>
              </w:rPr>
              <w:t>2.</w:t>
            </w:r>
            <w:r w:rsidRPr="00B21BB3">
              <w:rPr>
                <w:color w:val="000000"/>
                <w:sz w:val="20"/>
                <w:szCs w:val="20"/>
              </w:rPr>
              <w:t>血液及骨髓检查；</w:t>
            </w:r>
            <w:r w:rsidRPr="00B21BB3">
              <w:rPr>
                <w:color w:val="000000"/>
                <w:sz w:val="20"/>
                <w:szCs w:val="20"/>
              </w:rPr>
              <w:t>3.</w:t>
            </w:r>
            <w:r w:rsidRPr="00B21BB3">
              <w:rPr>
                <w:color w:val="000000"/>
                <w:sz w:val="20"/>
                <w:szCs w:val="20"/>
              </w:rPr>
              <w:t>高危评定依据：成人（</w:t>
            </w:r>
            <w:r w:rsidRPr="00B21BB3">
              <w:rPr>
                <w:color w:val="000000"/>
                <w:sz w:val="20"/>
                <w:szCs w:val="20"/>
              </w:rPr>
              <w:t>IPSS</w:t>
            </w:r>
            <w:r w:rsidRPr="00B21BB3">
              <w:rPr>
                <w:color w:val="000000"/>
                <w:sz w:val="20"/>
                <w:szCs w:val="20"/>
              </w:rPr>
              <w:t>预后评分</w:t>
            </w:r>
            <w:r w:rsidRPr="00B21BB3">
              <w:rPr>
                <w:color w:val="000000"/>
                <w:sz w:val="20"/>
                <w:szCs w:val="20"/>
              </w:rPr>
              <w:t>≥2.5</w:t>
            </w:r>
            <w:r w:rsidRPr="00B21BB3">
              <w:rPr>
                <w:color w:val="000000"/>
                <w:sz w:val="20"/>
                <w:szCs w:val="20"/>
              </w:rPr>
              <w:t>或</w:t>
            </w:r>
            <w:r w:rsidRPr="00B21BB3">
              <w:rPr>
                <w:color w:val="000000"/>
                <w:sz w:val="20"/>
                <w:szCs w:val="20"/>
              </w:rPr>
              <w:t>IPSS-R</w:t>
            </w:r>
            <w:r w:rsidRPr="00B21BB3">
              <w:rPr>
                <w:color w:val="000000"/>
                <w:sz w:val="20"/>
                <w:szCs w:val="20"/>
              </w:rPr>
              <w:t>预后评分＞</w:t>
            </w:r>
            <w:r w:rsidRPr="00B21BB3">
              <w:rPr>
                <w:color w:val="000000"/>
                <w:sz w:val="20"/>
                <w:szCs w:val="20"/>
              </w:rPr>
              <w:t>4.5</w:t>
            </w:r>
            <w:r w:rsidRPr="00B21BB3">
              <w:rPr>
                <w:color w:val="000000"/>
                <w:sz w:val="20"/>
                <w:szCs w:val="20"/>
              </w:rPr>
              <w:t>）；儿童（</w:t>
            </w:r>
            <w:r w:rsidRPr="00B21BB3">
              <w:rPr>
                <w:color w:val="000000"/>
                <w:sz w:val="20"/>
                <w:szCs w:val="20"/>
              </w:rPr>
              <w:t>0-14</w:t>
            </w:r>
            <w:r w:rsidRPr="00B21BB3">
              <w:rPr>
                <w:color w:val="000000"/>
                <w:sz w:val="20"/>
                <w:szCs w:val="20"/>
              </w:rPr>
              <w:t>岁）（</w:t>
            </w:r>
            <w:r w:rsidRPr="00B21BB3">
              <w:rPr>
                <w:color w:val="000000"/>
                <w:sz w:val="20"/>
                <w:szCs w:val="20"/>
              </w:rPr>
              <w:t>RAEB</w:t>
            </w:r>
            <w:r w:rsidRPr="00B21BB3">
              <w:rPr>
                <w:color w:val="000000"/>
                <w:sz w:val="20"/>
                <w:szCs w:val="20"/>
              </w:rPr>
              <w:t>、</w:t>
            </w:r>
            <w:r w:rsidRPr="00B21BB3">
              <w:rPr>
                <w:color w:val="000000"/>
                <w:sz w:val="20"/>
                <w:szCs w:val="20"/>
              </w:rPr>
              <w:t>RAEB-T</w:t>
            </w:r>
            <w:r w:rsidRPr="00B21BB3">
              <w:rPr>
                <w:color w:val="000000"/>
                <w:sz w:val="20"/>
                <w:szCs w:val="20"/>
              </w:rPr>
              <w:t>、</w:t>
            </w:r>
            <w:r w:rsidRPr="00B21BB3">
              <w:rPr>
                <w:color w:val="000000"/>
                <w:sz w:val="20"/>
                <w:szCs w:val="20"/>
              </w:rPr>
              <w:t>JMML</w:t>
            </w:r>
            <w:r w:rsidRPr="00B21BB3">
              <w:rPr>
                <w:color w:val="000000"/>
                <w:sz w:val="20"/>
                <w:szCs w:val="20"/>
              </w:rPr>
              <w:t>亚型）。</w:t>
            </w:r>
          </w:p>
        </w:tc>
        <w:tc>
          <w:tcPr>
            <w:tcW w:w="1080" w:type="dxa"/>
            <w:tcBorders>
              <w:top w:val="nil"/>
              <w:left w:val="nil"/>
              <w:bottom w:val="single" w:sz="4" w:space="0" w:color="000000"/>
              <w:right w:val="single" w:sz="4" w:space="0" w:color="000000"/>
            </w:tcBorders>
            <w:vAlign w:val="center"/>
          </w:tcPr>
          <w:p w:rsidR="00945DCF" w:rsidRPr="00B21BB3" w:rsidRDefault="00945DCF" w:rsidP="0044611F">
            <w:pPr>
              <w:widowControl/>
              <w:jc w:val="left"/>
              <w:textAlignment w:val="center"/>
              <w:rPr>
                <w:color w:val="000000"/>
                <w:sz w:val="20"/>
                <w:szCs w:val="20"/>
              </w:rPr>
            </w:pPr>
            <w:r w:rsidRPr="00B21BB3">
              <w:rPr>
                <w:color w:val="000000"/>
                <w:sz w:val="20"/>
                <w:szCs w:val="20"/>
              </w:rPr>
              <w:t>4-8</w:t>
            </w:r>
            <w:r w:rsidRPr="00B21BB3">
              <w:rPr>
                <w:color w:val="000000"/>
                <w:sz w:val="20"/>
                <w:szCs w:val="20"/>
              </w:rPr>
              <w:t>周（年轻人</w:t>
            </w:r>
            <w:r w:rsidRPr="00B21BB3">
              <w:rPr>
                <w:color w:val="000000"/>
                <w:sz w:val="20"/>
                <w:szCs w:val="20"/>
              </w:rPr>
              <w:t>4</w:t>
            </w:r>
            <w:r w:rsidRPr="00B21BB3">
              <w:rPr>
                <w:color w:val="000000"/>
                <w:sz w:val="20"/>
                <w:szCs w:val="20"/>
              </w:rPr>
              <w:t>周，老年人</w:t>
            </w:r>
            <w:r w:rsidRPr="00B21BB3">
              <w:rPr>
                <w:color w:val="000000"/>
                <w:sz w:val="20"/>
                <w:szCs w:val="20"/>
              </w:rPr>
              <w:t>8</w:t>
            </w:r>
            <w:r w:rsidRPr="00B21BB3">
              <w:rPr>
                <w:color w:val="000000"/>
                <w:sz w:val="20"/>
                <w:szCs w:val="20"/>
              </w:rPr>
              <w:t>周）</w:t>
            </w:r>
          </w:p>
        </w:tc>
      </w:tr>
      <w:tr w:rsidR="00945DCF" w:rsidTr="0044611F">
        <w:trPr>
          <w:trHeight w:val="810"/>
          <w:jc w:val="center"/>
        </w:trPr>
        <w:tc>
          <w:tcPr>
            <w:tcW w:w="1240" w:type="dxa"/>
            <w:vMerge w:val="restart"/>
            <w:tcBorders>
              <w:top w:val="nil"/>
              <w:left w:val="single" w:sz="4" w:space="0" w:color="000000"/>
              <w:bottom w:val="single" w:sz="4" w:space="0" w:color="000000"/>
              <w:right w:val="single" w:sz="4" w:space="0" w:color="000000"/>
            </w:tcBorders>
            <w:vAlign w:val="center"/>
          </w:tcPr>
          <w:p w:rsidR="00945DCF" w:rsidRPr="00B21BB3" w:rsidRDefault="00945DCF" w:rsidP="0044611F">
            <w:pPr>
              <w:widowControl/>
              <w:jc w:val="left"/>
              <w:textAlignment w:val="center"/>
              <w:rPr>
                <w:color w:val="000000"/>
                <w:sz w:val="20"/>
                <w:szCs w:val="20"/>
              </w:rPr>
            </w:pPr>
            <w:r w:rsidRPr="00B21BB3">
              <w:rPr>
                <w:color w:val="000000"/>
                <w:sz w:val="20"/>
                <w:szCs w:val="20"/>
              </w:rPr>
              <w:t>重组人凝血因子</w:t>
            </w:r>
            <w:r w:rsidRPr="00B21BB3">
              <w:rPr>
                <w:color w:val="000000"/>
                <w:sz w:val="20"/>
                <w:szCs w:val="20"/>
              </w:rPr>
              <w:t>IX</w:t>
            </w:r>
          </w:p>
        </w:tc>
        <w:tc>
          <w:tcPr>
            <w:tcW w:w="1080" w:type="dxa"/>
            <w:vMerge w:val="restart"/>
            <w:tcBorders>
              <w:top w:val="nil"/>
              <w:left w:val="single" w:sz="4" w:space="0" w:color="000000"/>
              <w:bottom w:val="single" w:sz="4" w:space="0" w:color="000000"/>
              <w:right w:val="single" w:sz="4" w:space="0" w:color="000000"/>
            </w:tcBorders>
            <w:vAlign w:val="center"/>
          </w:tcPr>
          <w:p w:rsidR="00945DCF" w:rsidRPr="00B21BB3" w:rsidRDefault="00945DCF" w:rsidP="0044611F">
            <w:pPr>
              <w:widowControl/>
              <w:jc w:val="left"/>
              <w:textAlignment w:val="center"/>
              <w:rPr>
                <w:color w:val="000000"/>
                <w:sz w:val="20"/>
                <w:szCs w:val="20"/>
              </w:rPr>
            </w:pPr>
            <w:r w:rsidRPr="00B21BB3">
              <w:rPr>
                <w:color w:val="000000"/>
                <w:sz w:val="20"/>
                <w:szCs w:val="20"/>
              </w:rPr>
              <w:t>注射剂</w:t>
            </w:r>
          </w:p>
        </w:tc>
        <w:tc>
          <w:tcPr>
            <w:tcW w:w="1880" w:type="dxa"/>
            <w:vMerge w:val="restart"/>
            <w:tcBorders>
              <w:top w:val="nil"/>
              <w:left w:val="single" w:sz="4" w:space="0" w:color="000000"/>
              <w:bottom w:val="single" w:sz="4" w:space="0" w:color="000000"/>
              <w:right w:val="single" w:sz="4" w:space="0" w:color="000000"/>
            </w:tcBorders>
            <w:vAlign w:val="center"/>
          </w:tcPr>
          <w:p w:rsidR="00945DCF" w:rsidRPr="00B21BB3" w:rsidRDefault="00945DCF" w:rsidP="0044611F">
            <w:pPr>
              <w:widowControl/>
              <w:jc w:val="left"/>
              <w:textAlignment w:val="center"/>
              <w:rPr>
                <w:color w:val="000000"/>
                <w:sz w:val="20"/>
                <w:szCs w:val="20"/>
              </w:rPr>
            </w:pPr>
            <w:proofErr w:type="gramStart"/>
            <w:r w:rsidRPr="00B21BB3">
              <w:rPr>
                <w:color w:val="000000"/>
                <w:sz w:val="20"/>
                <w:szCs w:val="20"/>
              </w:rPr>
              <w:t>限儿童</w:t>
            </w:r>
            <w:proofErr w:type="gramEnd"/>
            <w:r w:rsidRPr="00B21BB3">
              <w:rPr>
                <w:color w:val="000000"/>
                <w:sz w:val="20"/>
                <w:szCs w:val="20"/>
              </w:rPr>
              <w:t>乙型血友病；成人乙型血友病限出血时使用</w:t>
            </w:r>
          </w:p>
        </w:tc>
        <w:tc>
          <w:tcPr>
            <w:tcW w:w="1620" w:type="dxa"/>
            <w:tcBorders>
              <w:top w:val="nil"/>
              <w:left w:val="nil"/>
              <w:bottom w:val="single" w:sz="4" w:space="0" w:color="000000"/>
              <w:right w:val="single" w:sz="4" w:space="0" w:color="000000"/>
            </w:tcBorders>
            <w:vAlign w:val="center"/>
          </w:tcPr>
          <w:p w:rsidR="00945DCF" w:rsidRPr="00B21BB3" w:rsidRDefault="00945DCF" w:rsidP="0044611F">
            <w:pPr>
              <w:widowControl/>
              <w:jc w:val="left"/>
              <w:textAlignment w:val="center"/>
              <w:rPr>
                <w:color w:val="000000"/>
                <w:sz w:val="20"/>
                <w:szCs w:val="20"/>
              </w:rPr>
            </w:pPr>
            <w:r w:rsidRPr="00B21BB3">
              <w:rPr>
                <w:color w:val="000000"/>
                <w:sz w:val="20"/>
                <w:szCs w:val="20"/>
              </w:rPr>
              <w:t>儿童乙型</w:t>
            </w:r>
          </w:p>
          <w:p w:rsidR="00945DCF" w:rsidRPr="00B21BB3" w:rsidRDefault="00945DCF" w:rsidP="0044611F">
            <w:pPr>
              <w:widowControl/>
              <w:jc w:val="left"/>
              <w:textAlignment w:val="center"/>
              <w:rPr>
                <w:color w:val="000000"/>
                <w:sz w:val="20"/>
                <w:szCs w:val="20"/>
              </w:rPr>
            </w:pPr>
            <w:r w:rsidRPr="00B21BB3">
              <w:rPr>
                <w:color w:val="000000"/>
                <w:sz w:val="20"/>
                <w:szCs w:val="20"/>
              </w:rPr>
              <w:t>血友病</w:t>
            </w:r>
          </w:p>
        </w:tc>
        <w:tc>
          <w:tcPr>
            <w:tcW w:w="2860" w:type="dxa"/>
            <w:tcBorders>
              <w:top w:val="nil"/>
              <w:left w:val="nil"/>
              <w:bottom w:val="single" w:sz="4" w:space="0" w:color="000000"/>
              <w:right w:val="single" w:sz="4" w:space="0" w:color="000000"/>
            </w:tcBorders>
            <w:vAlign w:val="center"/>
          </w:tcPr>
          <w:p w:rsidR="00945DCF" w:rsidRPr="00B21BB3" w:rsidRDefault="00945DCF" w:rsidP="0044611F">
            <w:pPr>
              <w:widowControl/>
              <w:jc w:val="left"/>
              <w:textAlignment w:val="center"/>
              <w:rPr>
                <w:color w:val="000000"/>
                <w:sz w:val="20"/>
                <w:szCs w:val="20"/>
              </w:rPr>
            </w:pPr>
            <w:r w:rsidRPr="00B21BB3">
              <w:rPr>
                <w:color w:val="000000"/>
                <w:sz w:val="20"/>
                <w:szCs w:val="20"/>
              </w:rPr>
              <w:t>1.</w:t>
            </w:r>
            <w:r w:rsidRPr="00B21BB3">
              <w:rPr>
                <w:color w:val="000000"/>
                <w:sz w:val="20"/>
                <w:szCs w:val="20"/>
              </w:rPr>
              <w:t>血液学检查符合儿童乙型血友病；</w:t>
            </w:r>
            <w:r w:rsidRPr="00B21BB3">
              <w:rPr>
                <w:color w:val="000000"/>
                <w:sz w:val="20"/>
                <w:szCs w:val="20"/>
              </w:rPr>
              <w:t>2.</w:t>
            </w:r>
            <w:r w:rsidRPr="00B21BB3">
              <w:rPr>
                <w:color w:val="000000"/>
                <w:sz w:val="20"/>
                <w:szCs w:val="20"/>
              </w:rPr>
              <w:t>儿童（年龄</w:t>
            </w:r>
            <w:r w:rsidRPr="00B21BB3">
              <w:rPr>
                <w:color w:val="000000"/>
                <w:sz w:val="20"/>
                <w:szCs w:val="20"/>
              </w:rPr>
              <w:t>&lt;18</w:t>
            </w:r>
            <w:r w:rsidRPr="00B21BB3">
              <w:rPr>
                <w:color w:val="000000"/>
                <w:sz w:val="20"/>
                <w:szCs w:val="20"/>
              </w:rPr>
              <w:t>周岁）。</w:t>
            </w:r>
          </w:p>
        </w:tc>
        <w:tc>
          <w:tcPr>
            <w:tcW w:w="4040" w:type="dxa"/>
            <w:tcBorders>
              <w:top w:val="nil"/>
              <w:left w:val="nil"/>
              <w:bottom w:val="single" w:sz="4" w:space="0" w:color="000000"/>
              <w:right w:val="single" w:sz="4" w:space="0" w:color="000000"/>
            </w:tcBorders>
            <w:vAlign w:val="center"/>
          </w:tcPr>
          <w:p w:rsidR="00945DCF" w:rsidRPr="00B21BB3" w:rsidRDefault="00945DCF" w:rsidP="0044611F">
            <w:pPr>
              <w:widowControl/>
              <w:jc w:val="left"/>
              <w:textAlignment w:val="center"/>
              <w:rPr>
                <w:color w:val="000000"/>
                <w:sz w:val="20"/>
                <w:szCs w:val="20"/>
              </w:rPr>
            </w:pPr>
            <w:r w:rsidRPr="00B21BB3">
              <w:rPr>
                <w:color w:val="000000"/>
                <w:sz w:val="20"/>
                <w:szCs w:val="20"/>
              </w:rPr>
              <w:t>1.</w:t>
            </w:r>
            <w:r w:rsidRPr="00B21BB3">
              <w:rPr>
                <w:color w:val="000000"/>
                <w:sz w:val="20"/>
                <w:szCs w:val="20"/>
              </w:rPr>
              <w:t>病情诊断证明书；</w:t>
            </w:r>
            <w:r w:rsidRPr="00B21BB3">
              <w:rPr>
                <w:color w:val="000000"/>
                <w:sz w:val="20"/>
                <w:szCs w:val="20"/>
              </w:rPr>
              <w:t>2.</w:t>
            </w:r>
            <w:r w:rsidRPr="00B21BB3">
              <w:rPr>
                <w:color w:val="000000"/>
                <w:sz w:val="20"/>
                <w:szCs w:val="20"/>
              </w:rPr>
              <w:t>凝血因子和凝血图检查报告。</w:t>
            </w:r>
          </w:p>
        </w:tc>
        <w:tc>
          <w:tcPr>
            <w:tcW w:w="1080" w:type="dxa"/>
            <w:vMerge w:val="restart"/>
            <w:tcBorders>
              <w:top w:val="nil"/>
              <w:left w:val="single" w:sz="4" w:space="0" w:color="000000"/>
              <w:bottom w:val="single" w:sz="4" w:space="0" w:color="000000"/>
              <w:right w:val="single" w:sz="4" w:space="0" w:color="000000"/>
            </w:tcBorders>
            <w:vAlign w:val="center"/>
          </w:tcPr>
          <w:p w:rsidR="00945DCF" w:rsidRPr="00B21BB3" w:rsidRDefault="00945DCF" w:rsidP="0044611F">
            <w:pPr>
              <w:widowControl/>
              <w:jc w:val="left"/>
              <w:textAlignment w:val="center"/>
              <w:rPr>
                <w:color w:val="000000"/>
                <w:sz w:val="20"/>
                <w:szCs w:val="20"/>
              </w:rPr>
            </w:pPr>
            <w:r w:rsidRPr="00B21BB3">
              <w:rPr>
                <w:color w:val="000000"/>
                <w:sz w:val="20"/>
                <w:szCs w:val="20"/>
              </w:rPr>
              <w:t>3</w:t>
            </w:r>
            <w:r w:rsidRPr="00B21BB3">
              <w:rPr>
                <w:color w:val="000000"/>
                <w:sz w:val="20"/>
                <w:szCs w:val="20"/>
              </w:rPr>
              <w:t>个月</w:t>
            </w:r>
          </w:p>
        </w:tc>
      </w:tr>
      <w:tr w:rsidR="00945DCF" w:rsidTr="0044611F">
        <w:trPr>
          <w:trHeight w:val="810"/>
          <w:jc w:val="center"/>
        </w:trPr>
        <w:tc>
          <w:tcPr>
            <w:tcW w:w="1240" w:type="dxa"/>
            <w:vMerge/>
            <w:tcBorders>
              <w:top w:val="nil"/>
              <w:left w:val="single" w:sz="4" w:space="0" w:color="000000"/>
              <w:bottom w:val="single" w:sz="4" w:space="0" w:color="000000"/>
              <w:right w:val="single" w:sz="4" w:space="0" w:color="000000"/>
            </w:tcBorders>
            <w:vAlign w:val="center"/>
          </w:tcPr>
          <w:p w:rsidR="00945DCF" w:rsidRPr="00B21BB3" w:rsidRDefault="00945DCF" w:rsidP="0044611F">
            <w:pPr>
              <w:widowControl/>
              <w:jc w:val="left"/>
              <w:textAlignment w:val="center"/>
              <w:rPr>
                <w:color w:val="000000"/>
                <w:sz w:val="20"/>
                <w:szCs w:val="20"/>
              </w:rPr>
            </w:pPr>
          </w:p>
        </w:tc>
        <w:tc>
          <w:tcPr>
            <w:tcW w:w="1080" w:type="dxa"/>
            <w:vMerge/>
            <w:tcBorders>
              <w:top w:val="nil"/>
              <w:left w:val="single" w:sz="4" w:space="0" w:color="000000"/>
              <w:bottom w:val="single" w:sz="4" w:space="0" w:color="000000"/>
              <w:right w:val="single" w:sz="4" w:space="0" w:color="000000"/>
            </w:tcBorders>
            <w:vAlign w:val="center"/>
          </w:tcPr>
          <w:p w:rsidR="00945DCF" w:rsidRPr="00B21BB3" w:rsidRDefault="00945DCF" w:rsidP="0044611F">
            <w:pPr>
              <w:widowControl/>
              <w:jc w:val="left"/>
              <w:textAlignment w:val="center"/>
              <w:rPr>
                <w:color w:val="000000"/>
                <w:sz w:val="20"/>
                <w:szCs w:val="20"/>
              </w:rPr>
            </w:pPr>
          </w:p>
        </w:tc>
        <w:tc>
          <w:tcPr>
            <w:tcW w:w="1880" w:type="dxa"/>
            <w:vMerge/>
            <w:tcBorders>
              <w:top w:val="nil"/>
              <w:left w:val="single" w:sz="4" w:space="0" w:color="000000"/>
              <w:bottom w:val="single" w:sz="4" w:space="0" w:color="000000"/>
              <w:right w:val="single" w:sz="4" w:space="0" w:color="000000"/>
            </w:tcBorders>
            <w:vAlign w:val="center"/>
          </w:tcPr>
          <w:p w:rsidR="00945DCF" w:rsidRPr="00B21BB3" w:rsidRDefault="00945DCF" w:rsidP="0044611F">
            <w:pPr>
              <w:widowControl/>
              <w:jc w:val="left"/>
              <w:textAlignment w:val="center"/>
              <w:rPr>
                <w:color w:val="000000"/>
                <w:sz w:val="20"/>
                <w:szCs w:val="20"/>
              </w:rPr>
            </w:pPr>
          </w:p>
        </w:tc>
        <w:tc>
          <w:tcPr>
            <w:tcW w:w="1620" w:type="dxa"/>
            <w:tcBorders>
              <w:top w:val="nil"/>
              <w:left w:val="nil"/>
              <w:bottom w:val="single" w:sz="4" w:space="0" w:color="000000"/>
              <w:right w:val="single" w:sz="4" w:space="0" w:color="000000"/>
            </w:tcBorders>
            <w:vAlign w:val="center"/>
          </w:tcPr>
          <w:p w:rsidR="00945DCF" w:rsidRPr="00B21BB3" w:rsidRDefault="00945DCF" w:rsidP="0044611F">
            <w:pPr>
              <w:widowControl/>
              <w:jc w:val="center"/>
              <w:textAlignment w:val="center"/>
              <w:rPr>
                <w:color w:val="000000"/>
                <w:sz w:val="20"/>
                <w:szCs w:val="20"/>
              </w:rPr>
            </w:pPr>
            <w:r w:rsidRPr="00B21BB3">
              <w:rPr>
                <w:color w:val="000000"/>
                <w:sz w:val="20"/>
                <w:szCs w:val="20"/>
              </w:rPr>
              <w:t>成人乙型</w:t>
            </w:r>
          </w:p>
          <w:p w:rsidR="00945DCF" w:rsidRPr="00B21BB3" w:rsidRDefault="00945DCF" w:rsidP="0044611F">
            <w:pPr>
              <w:widowControl/>
              <w:jc w:val="center"/>
              <w:textAlignment w:val="center"/>
              <w:rPr>
                <w:color w:val="000000"/>
                <w:sz w:val="20"/>
                <w:szCs w:val="20"/>
              </w:rPr>
            </w:pPr>
            <w:r w:rsidRPr="00B21BB3">
              <w:rPr>
                <w:color w:val="000000"/>
                <w:sz w:val="20"/>
                <w:szCs w:val="20"/>
              </w:rPr>
              <w:t>血友病</w:t>
            </w:r>
          </w:p>
        </w:tc>
        <w:tc>
          <w:tcPr>
            <w:tcW w:w="2860" w:type="dxa"/>
            <w:tcBorders>
              <w:top w:val="nil"/>
              <w:left w:val="nil"/>
              <w:bottom w:val="single" w:sz="4" w:space="0" w:color="000000"/>
              <w:right w:val="single" w:sz="4" w:space="0" w:color="000000"/>
            </w:tcBorders>
            <w:vAlign w:val="center"/>
          </w:tcPr>
          <w:p w:rsidR="00945DCF" w:rsidRPr="00B21BB3" w:rsidRDefault="00945DCF" w:rsidP="0044611F">
            <w:pPr>
              <w:widowControl/>
              <w:jc w:val="left"/>
              <w:textAlignment w:val="center"/>
              <w:rPr>
                <w:color w:val="000000"/>
                <w:sz w:val="20"/>
                <w:szCs w:val="20"/>
              </w:rPr>
            </w:pPr>
            <w:r w:rsidRPr="00B21BB3">
              <w:rPr>
                <w:color w:val="000000"/>
                <w:sz w:val="20"/>
                <w:szCs w:val="20"/>
              </w:rPr>
              <w:t>1.</w:t>
            </w:r>
            <w:r w:rsidRPr="00B21BB3">
              <w:rPr>
                <w:color w:val="000000"/>
                <w:sz w:val="20"/>
                <w:szCs w:val="20"/>
              </w:rPr>
              <w:t>血液学检查符合成人乙型血友病；</w:t>
            </w:r>
            <w:r w:rsidRPr="00B21BB3">
              <w:rPr>
                <w:color w:val="000000"/>
                <w:sz w:val="20"/>
                <w:szCs w:val="20"/>
              </w:rPr>
              <w:t>2.</w:t>
            </w:r>
            <w:r w:rsidRPr="00B21BB3">
              <w:rPr>
                <w:color w:val="000000"/>
                <w:sz w:val="20"/>
                <w:szCs w:val="20"/>
              </w:rPr>
              <w:t>成年患者（年龄</w:t>
            </w:r>
            <w:r w:rsidRPr="00B21BB3">
              <w:rPr>
                <w:color w:val="000000"/>
                <w:sz w:val="20"/>
                <w:szCs w:val="20"/>
              </w:rPr>
              <w:t>≥18</w:t>
            </w:r>
            <w:r w:rsidRPr="00B21BB3">
              <w:rPr>
                <w:color w:val="000000"/>
                <w:sz w:val="20"/>
                <w:szCs w:val="20"/>
              </w:rPr>
              <w:t>周岁）；</w:t>
            </w:r>
            <w:r w:rsidRPr="00B21BB3">
              <w:rPr>
                <w:color w:val="000000"/>
                <w:sz w:val="20"/>
                <w:szCs w:val="20"/>
              </w:rPr>
              <w:t>3.</w:t>
            </w:r>
            <w:r w:rsidRPr="00B21BB3">
              <w:rPr>
                <w:color w:val="000000"/>
                <w:sz w:val="20"/>
                <w:szCs w:val="20"/>
              </w:rPr>
              <w:t>出血时。</w:t>
            </w:r>
          </w:p>
        </w:tc>
        <w:tc>
          <w:tcPr>
            <w:tcW w:w="4040" w:type="dxa"/>
            <w:tcBorders>
              <w:top w:val="nil"/>
              <w:left w:val="nil"/>
              <w:bottom w:val="single" w:sz="4" w:space="0" w:color="000000"/>
              <w:right w:val="single" w:sz="4" w:space="0" w:color="000000"/>
            </w:tcBorders>
            <w:vAlign w:val="center"/>
          </w:tcPr>
          <w:p w:rsidR="00945DCF" w:rsidRPr="00B21BB3" w:rsidRDefault="00945DCF" w:rsidP="0044611F">
            <w:pPr>
              <w:widowControl/>
              <w:jc w:val="left"/>
              <w:textAlignment w:val="center"/>
              <w:rPr>
                <w:color w:val="000000"/>
                <w:sz w:val="20"/>
                <w:szCs w:val="20"/>
              </w:rPr>
            </w:pPr>
            <w:r w:rsidRPr="00B21BB3">
              <w:rPr>
                <w:color w:val="000000"/>
                <w:sz w:val="20"/>
                <w:szCs w:val="20"/>
              </w:rPr>
              <w:t>1.</w:t>
            </w:r>
            <w:r w:rsidRPr="00B21BB3">
              <w:rPr>
                <w:color w:val="000000"/>
                <w:sz w:val="20"/>
                <w:szCs w:val="20"/>
              </w:rPr>
              <w:t>病情诊断证明书；</w:t>
            </w:r>
            <w:r w:rsidRPr="00B21BB3">
              <w:rPr>
                <w:color w:val="000000"/>
                <w:sz w:val="20"/>
                <w:szCs w:val="20"/>
              </w:rPr>
              <w:t>2.</w:t>
            </w:r>
            <w:r w:rsidRPr="00B21BB3">
              <w:rPr>
                <w:color w:val="000000"/>
                <w:sz w:val="20"/>
                <w:szCs w:val="20"/>
              </w:rPr>
              <w:t>凝血因子和凝血图检查报告；</w:t>
            </w:r>
            <w:r w:rsidRPr="00B21BB3">
              <w:rPr>
                <w:color w:val="000000"/>
                <w:sz w:val="20"/>
                <w:szCs w:val="20"/>
              </w:rPr>
              <w:t>3.</w:t>
            </w:r>
            <w:r w:rsidRPr="00B21BB3">
              <w:rPr>
                <w:color w:val="000000"/>
                <w:sz w:val="20"/>
                <w:szCs w:val="20"/>
              </w:rPr>
              <w:t>出血相关病史资料。</w:t>
            </w:r>
          </w:p>
        </w:tc>
        <w:tc>
          <w:tcPr>
            <w:tcW w:w="1080" w:type="dxa"/>
            <w:vMerge/>
            <w:tcBorders>
              <w:top w:val="nil"/>
              <w:left w:val="single" w:sz="4" w:space="0" w:color="000000"/>
              <w:bottom w:val="single" w:sz="4" w:space="0" w:color="000000"/>
              <w:right w:val="single" w:sz="4" w:space="0" w:color="000000"/>
            </w:tcBorders>
            <w:vAlign w:val="center"/>
          </w:tcPr>
          <w:p w:rsidR="00945DCF" w:rsidRDefault="00945DCF" w:rsidP="0044611F">
            <w:pPr>
              <w:widowControl/>
              <w:jc w:val="left"/>
              <w:rPr>
                <w:kern w:val="0"/>
                <w:sz w:val="22"/>
              </w:rPr>
            </w:pPr>
          </w:p>
        </w:tc>
      </w:tr>
    </w:tbl>
    <w:p w:rsidR="00945DCF" w:rsidRDefault="00945DCF" w:rsidP="00945DCF">
      <w:pPr>
        <w:spacing w:line="540" w:lineRule="exact"/>
        <w:rPr>
          <w:rFonts w:ascii="仿宋_GB2312" w:eastAsia="仿宋_GB2312" w:hint="eastAsia"/>
          <w:sz w:val="20"/>
          <w:szCs w:val="20"/>
        </w:rPr>
      </w:pPr>
    </w:p>
    <w:p w:rsidR="00945DCF" w:rsidRPr="00104DC8" w:rsidRDefault="00945DCF" w:rsidP="00945DCF">
      <w:pPr>
        <w:spacing w:line="540" w:lineRule="exact"/>
        <w:ind w:firstLineChars="250" w:firstLine="500"/>
        <w:rPr>
          <w:rFonts w:ascii="仿宋_GB2312" w:eastAsia="仿宋_GB2312" w:hint="eastAsia"/>
          <w:sz w:val="20"/>
          <w:szCs w:val="20"/>
        </w:rPr>
      </w:pPr>
      <w:r w:rsidRPr="00104DC8">
        <w:rPr>
          <w:rFonts w:ascii="仿宋_GB2312" w:eastAsia="仿宋_GB2312" w:hint="eastAsia"/>
          <w:sz w:val="20"/>
          <w:szCs w:val="20"/>
        </w:rPr>
        <w:lastRenderedPageBreak/>
        <w:t>备注：</w:t>
      </w:r>
    </w:p>
    <w:p w:rsidR="00945DCF" w:rsidRPr="00104DC8" w:rsidRDefault="00945DCF" w:rsidP="00945DCF">
      <w:pPr>
        <w:spacing w:line="540" w:lineRule="exact"/>
        <w:ind w:firstLineChars="200" w:firstLine="400"/>
        <w:rPr>
          <w:rFonts w:ascii="仿宋_GB2312" w:eastAsia="仿宋_GB2312" w:hint="eastAsia"/>
          <w:color w:val="000000"/>
          <w:sz w:val="20"/>
          <w:szCs w:val="20"/>
        </w:rPr>
      </w:pPr>
      <w:r w:rsidRPr="00104DC8">
        <w:rPr>
          <w:rFonts w:ascii="仿宋_GB2312" w:eastAsia="仿宋_GB2312" w:hint="eastAsia"/>
          <w:color w:val="000000"/>
          <w:sz w:val="20"/>
          <w:szCs w:val="20"/>
        </w:rPr>
        <w:t>1.治疗评估周期：治疗评估周期是指一次治疗所需的天数，本次治疗周期期满后需继续治疗的，进行疗效评估后，重新申请治疗方案进入下一周期。</w:t>
      </w:r>
    </w:p>
    <w:p w:rsidR="00945DCF" w:rsidRPr="00104DC8" w:rsidRDefault="00945DCF" w:rsidP="00945DCF">
      <w:pPr>
        <w:spacing w:line="560" w:lineRule="exact"/>
        <w:ind w:firstLineChars="196" w:firstLine="392"/>
        <w:jc w:val="left"/>
        <w:rPr>
          <w:rFonts w:ascii="仿宋_GB2312" w:eastAsia="仿宋_GB2312" w:hint="eastAsia"/>
          <w:color w:val="000000"/>
          <w:sz w:val="20"/>
          <w:szCs w:val="20"/>
        </w:rPr>
      </w:pPr>
      <w:r w:rsidRPr="00104DC8">
        <w:rPr>
          <w:rFonts w:ascii="仿宋_GB2312" w:eastAsia="仿宋_GB2312" w:hint="eastAsia"/>
          <w:color w:val="000000"/>
          <w:sz w:val="20"/>
          <w:szCs w:val="20"/>
        </w:rPr>
        <w:t>2.病史资料：附件</w:t>
      </w:r>
      <w:r>
        <w:rPr>
          <w:rFonts w:ascii="仿宋_GB2312" w:eastAsia="仿宋_GB2312" w:hint="eastAsia"/>
          <w:color w:val="000000"/>
          <w:sz w:val="20"/>
          <w:szCs w:val="20"/>
        </w:rPr>
        <w:t>2</w:t>
      </w:r>
      <w:r w:rsidRPr="00104DC8">
        <w:rPr>
          <w:rFonts w:ascii="仿宋_GB2312" w:eastAsia="仿宋_GB2312" w:hint="eastAsia"/>
          <w:color w:val="000000"/>
          <w:sz w:val="20"/>
          <w:szCs w:val="20"/>
        </w:rPr>
        <w:t>中病史资料</w:t>
      </w:r>
      <w:proofErr w:type="gramStart"/>
      <w:r w:rsidRPr="00104DC8">
        <w:rPr>
          <w:rFonts w:ascii="仿宋_GB2312" w:eastAsia="仿宋_GB2312" w:hint="eastAsia"/>
          <w:color w:val="000000"/>
          <w:sz w:val="20"/>
          <w:szCs w:val="20"/>
        </w:rPr>
        <w:t>指认定</w:t>
      </w:r>
      <w:proofErr w:type="gramEnd"/>
      <w:r w:rsidRPr="00104DC8">
        <w:rPr>
          <w:rFonts w:ascii="仿宋_GB2312" w:eastAsia="仿宋_GB2312" w:hint="eastAsia"/>
          <w:color w:val="000000"/>
          <w:sz w:val="20"/>
          <w:szCs w:val="20"/>
        </w:rPr>
        <w:t>机构有相应记录的出院病情证明书或门诊病情证明书、病历等资料（需加盖认定机构病情证明专用章）；附件</w:t>
      </w:r>
      <w:r>
        <w:rPr>
          <w:rFonts w:ascii="仿宋_GB2312" w:eastAsia="仿宋_GB2312" w:hint="eastAsia"/>
          <w:color w:val="000000"/>
          <w:sz w:val="20"/>
          <w:szCs w:val="20"/>
        </w:rPr>
        <w:t>5</w:t>
      </w:r>
      <w:r w:rsidRPr="00104DC8">
        <w:rPr>
          <w:rFonts w:ascii="仿宋_GB2312" w:eastAsia="仿宋_GB2312" w:hint="eastAsia"/>
          <w:color w:val="000000"/>
          <w:sz w:val="20"/>
          <w:szCs w:val="20"/>
        </w:rPr>
        <w:t>中病史资料指治疗机构有相应记录的出院病情证明书或门诊病情证明书、病历等资料（需加盖治疗机构病情证明专用章）。</w:t>
      </w:r>
    </w:p>
    <w:p w:rsidR="00945DCF" w:rsidRPr="00104DC8" w:rsidRDefault="00945DCF" w:rsidP="00945DCF">
      <w:pPr>
        <w:spacing w:line="540" w:lineRule="exact"/>
        <w:ind w:firstLineChars="196" w:firstLine="392"/>
        <w:rPr>
          <w:rFonts w:ascii="仿宋_GB2312" w:eastAsia="仿宋_GB2312" w:hint="eastAsia"/>
          <w:color w:val="000000"/>
          <w:sz w:val="20"/>
          <w:szCs w:val="20"/>
        </w:rPr>
      </w:pPr>
      <w:r w:rsidRPr="00104DC8">
        <w:rPr>
          <w:rFonts w:ascii="仿宋_GB2312" w:eastAsia="仿宋_GB2312" w:hint="eastAsia"/>
          <w:color w:val="000000"/>
          <w:sz w:val="20"/>
          <w:szCs w:val="20"/>
        </w:rPr>
        <w:t>3.不能手术：患者的原发灶或转移病灶不能完成根治性手术。包括以下四类：（1）初诊时只有原发病灶且不能手术的患者；（2）初诊时原发病灶和转移病灶都不能手术的患者；（3）初诊时原发病灶或者转移病灶可以</w:t>
      </w:r>
      <w:proofErr w:type="gramStart"/>
      <w:r w:rsidRPr="00104DC8">
        <w:rPr>
          <w:rFonts w:ascii="仿宋_GB2312" w:eastAsia="仿宋_GB2312" w:hint="eastAsia"/>
          <w:color w:val="000000"/>
          <w:sz w:val="20"/>
          <w:szCs w:val="20"/>
        </w:rPr>
        <w:t>行减瘤术</w:t>
      </w:r>
      <w:proofErr w:type="gramEnd"/>
      <w:r w:rsidRPr="00104DC8">
        <w:rPr>
          <w:rFonts w:ascii="仿宋_GB2312" w:eastAsia="仿宋_GB2312" w:hint="eastAsia"/>
          <w:color w:val="000000"/>
          <w:sz w:val="20"/>
          <w:szCs w:val="20"/>
        </w:rPr>
        <w:t>的患者，术后原发病灶或者转移病灶在影像学上仍可见残留病灶且不能手术；（4）既往原发病灶手术切除过，用药治疗时已经复发或者转移的不能手术患者。</w:t>
      </w:r>
    </w:p>
    <w:p w:rsidR="000A521E" w:rsidRPr="00945DCF" w:rsidRDefault="00945DCF" w:rsidP="00945DCF">
      <w:pPr>
        <w:spacing w:line="560" w:lineRule="exact"/>
        <w:ind w:firstLineChars="196" w:firstLine="392"/>
        <w:jc w:val="left"/>
      </w:pPr>
      <w:r w:rsidRPr="00104DC8">
        <w:rPr>
          <w:rFonts w:ascii="仿宋_GB2312" w:eastAsia="仿宋_GB2312" w:hint="eastAsia"/>
          <w:color w:val="000000"/>
          <w:sz w:val="20"/>
          <w:szCs w:val="20"/>
        </w:rPr>
        <w:t>4.本通知中所指恶性肿瘤，均特指原发病灶的恶性肿瘤，</w:t>
      </w:r>
      <w:proofErr w:type="gramStart"/>
      <w:r w:rsidRPr="00104DC8">
        <w:rPr>
          <w:rFonts w:ascii="仿宋_GB2312" w:eastAsia="仿宋_GB2312" w:hint="eastAsia"/>
          <w:color w:val="000000"/>
          <w:sz w:val="20"/>
          <w:szCs w:val="20"/>
        </w:rPr>
        <w:t>非转移</w:t>
      </w:r>
      <w:proofErr w:type="gramEnd"/>
      <w:r w:rsidRPr="00104DC8">
        <w:rPr>
          <w:rFonts w:ascii="仿宋_GB2312" w:eastAsia="仿宋_GB2312" w:hint="eastAsia"/>
          <w:color w:val="000000"/>
          <w:sz w:val="20"/>
          <w:szCs w:val="20"/>
        </w:rPr>
        <w:t>病灶。</w:t>
      </w:r>
    </w:p>
    <w:sectPr w:rsidR="000A521E" w:rsidRPr="00945DCF" w:rsidSect="00945DCF">
      <w:footerReference w:type="default" r:id="rId4"/>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820" w:rsidRDefault="00945DCF">
    <w:pPr>
      <w:pStyle w:val="a3"/>
      <w:framePr w:wrap="around" w:vAnchor="text" w:hAnchor="margin" w:xAlign="outside" w:y="1"/>
      <w:rPr>
        <w:rStyle w:val="a4"/>
        <w:rFonts w:ascii="宋体" w:hAnsi="宋体"/>
        <w:sz w:val="28"/>
        <w:szCs w:val="28"/>
      </w:rPr>
    </w:pPr>
    <w:r>
      <w:rPr>
        <w:rFonts w:ascii="宋体" w:hAnsi="宋体"/>
        <w:sz w:val="28"/>
        <w:szCs w:val="28"/>
      </w:rPr>
      <w:fldChar w:fldCharType="begin"/>
    </w:r>
    <w:r>
      <w:rPr>
        <w:rStyle w:val="a4"/>
        <w:rFonts w:ascii="宋体" w:hAnsi="宋体"/>
        <w:sz w:val="28"/>
        <w:szCs w:val="28"/>
      </w:rPr>
      <w:instrText xml:space="preserve">PAGE  </w:instrText>
    </w:r>
    <w:r>
      <w:rPr>
        <w:rFonts w:ascii="宋体" w:hAnsi="宋体"/>
        <w:sz w:val="28"/>
        <w:szCs w:val="28"/>
      </w:rPr>
      <w:fldChar w:fldCharType="separate"/>
    </w:r>
    <w:r>
      <w:rPr>
        <w:rStyle w:val="a4"/>
        <w:rFonts w:ascii="宋体" w:hAnsi="宋体"/>
        <w:noProof/>
        <w:sz w:val="28"/>
        <w:szCs w:val="28"/>
      </w:rPr>
      <w:t>1</w:t>
    </w:r>
    <w:r>
      <w:rPr>
        <w:rFonts w:ascii="宋体" w:hAnsi="宋体"/>
        <w:sz w:val="28"/>
        <w:szCs w:val="28"/>
      </w:rPr>
      <w:fldChar w:fldCharType="end"/>
    </w:r>
  </w:p>
  <w:p w:rsidR="00B00820" w:rsidRDefault="00945DCF">
    <w:pPr>
      <w:pStyle w:val="a3"/>
      <w:ind w:right="360" w:firstLine="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45DCF"/>
    <w:rsid w:val="000A521E"/>
    <w:rsid w:val="00945DCF"/>
    <w:rsid w:val="00D620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DCF"/>
    <w:pPr>
      <w:widowControl w:val="0"/>
      <w:spacing w:line="240" w:lineRule="auto"/>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45DCF"/>
    <w:pPr>
      <w:tabs>
        <w:tab w:val="center" w:pos="4153"/>
        <w:tab w:val="right" w:pos="8306"/>
      </w:tabs>
      <w:snapToGrid w:val="0"/>
      <w:jc w:val="left"/>
    </w:pPr>
    <w:rPr>
      <w:sz w:val="18"/>
      <w:szCs w:val="18"/>
      <w:lang/>
    </w:rPr>
  </w:style>
  <w:style w:type="character" w:customStyle="1" w:styleId="Char">
    <w:name w:val="页脚 Char"/>
    <w:basedOn w:val="a0"/>
    <w:link w:val="a3"/>
    <w:uiPriority w:val="99"/>
    <w:rsid w:val="00945DCF"/>
    <w:rPr>
      <w:rFonts w:ascii="Calibri" w:eastAsia="宋体" w:hAnsi="Calibri" w:cs="Times New Roman"/>
      <w:sz w:val="18"/>
      <w:szCs w:val="18"/>
      <w:lang/>
    </w:rPr>
  </w:style>
  <w:style w:type="character" w:styleId="a4">
    <w:name w:val="page number"/>
    <w:basedOn w:val="a0"/>
    <w:rsid w:val="00945DC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277</Words>
  <Characters>1585</Characters>
  <Application>Microsoft Office Word</Application>
  <DocSecurity>0</DocSecurity>
  <Lines>13</Lines>
  <Paragraphs>3</Paragraphs>
  <ScaleCrop>false</ScaleCrop>
  <Company>Microsoft</Company>
  <LinksUpToDate>false</LinksUpToDate>
  <CharactersWithSpaces>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2017-12-01T09:40:00Z</dcterms:created>
  <dcterms:modified xsi:type="dcterms:W3CDTF">2017-12-01T09:41:00Z</dcterms:modified>
</cp:coreProperties>
</file>